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10" w:before="0" w:line="247" w:lineRule="auto"/>
        <w:ind w:hanging="0" w:left="0" w:right="-26"/>
        <w:contextualSpacing w:val="false"/>
        <w:jc w:val="center"/>
        <w:rPr>
          <w:rFonts w:ascii="Arial" w:cs="Arial" w:hAnsi="Arial"/>
          <w:szCs w:val="24"/>
        </w:rPr>
      </w:pPr>
      <w:bookmarkStart w:id="0" w:name="_GoBack"/>
      <w:bookmarkEnd w:id="0"/>
      <w:r>
        <w:rPr>
          <w:rFonts w:ascii="Arial" w:cs="Arial" w:hAnsi="Arial"/>
          <w:szCs w:val="24"/>
        </w:rPr>
        <w:t>ANEXO X</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MINUTA DO CONTRATO DE CONCESSÃO PARA PRESTAÇÃO DOS SERVIÇOS PÚBLICOS DE ABASTECIMENTO DE ÁGUA E DE ESGOTAMENTO SANITÁRIO DO MUNICÍPIO DE CAÇADOR - SC.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O Município de Caçador/SC, neste ato representado pelo seu representante legal, Prefeito Municipal Sr. Gilberto Amaro Comazzetto, doravante denominado simplesmente Concedente, e (...), por seu representante legal, doravante denominada Concessionária, celebram o presente Contrato de Concessão para prestação dos serviços públicos de abastecimento de água e de esgotamento sanitário, que será regido pela legislação que disciplina a matéria e, especificamente, pelas cláusulas e condições a seguir estipuladas.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1ª - Definições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1.1. Além das definições utilizadas no Edital, neste Contrato e em seus anexos, os termos a seguir indicados terão o significado a seguir transcrito, salvo se do seu contexto resultar sentido claramente diverso: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Agência Reguladora:</w:t>
      </w:r>
      <w:r>
        <w:rPr>
          <w:rFonts w:ascii="Arial" w:cs="Arial" w:hAnsi="Arial"/>
          <w:szCs w:val="24"/>
        </w:rPr>
        <w:t xml:space="preserve"> é a Agência Reguladora Intermunicipal de Saneamento - ARIS, conforme legislação municipal, ou outra entidade de regulação a ser definida pelo Município de Caçador;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Área de Concessão</w:t>
      </w:r>
      <w:r>
        <w:rPr>
          <w:rFonts w:ascii="Arial" w:cs="Arial" w:hAnsi="Arial"/>
          <w:szCs w:val="24"/>
        </w:rPr>
        <w:t xml:space="preserve">: perímetro urbano da sede urbana do Município de Caçador e área urbana do distrito da Taquara Verde. A área residencial com características urbanas da localidade denominada Castelhano, embora não circunscrita ao perímetro urbano da sede, é considerada na abrangência da concessão no que se refere ao abastecimento de água, dada a viabilidade técnica de seu atendimento pelo sistema da sede urbana;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Bens Reversíveis</w:t>
      </w:r>
      <w:r>
        <w:rPr>
          <w:rFonts w:ascii="Arial" w:cs="Arial" w:hAnsi="Arial"/>
          <w:szCs w:val="24"/>
        </w:rPr>
        <w:t xml:space="preserve">: ativos relacionados no Anexo VIII do Edital e aqueles adquiridos pela Concessionária ao longo da concessão, vinculados diretamente à prestação dos serviços públicos de abastecimento de água e de esgotamento sanitário e que retornarão ao Poder Concedente quando do fim da concessão, nos termos do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u w:val="single"/>
        </w:rPr>
        <w:t>Concedente, Poder Concedente ou Contratante</w:t>
      </w:r>
      <w:r>
        <w:rPr>
          <w:rFonts w:ascii="Arial" w:cs="Arial" w:hAnsi="Arial"/>
          <w:szCs w:val="24"/>
        </w:rPr>
        <w:t xml:space="preserve">: é o Município de Caçador;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Concessão</w:t>
      </w:r>
      <w:r>
        <w:rPr>
          <w:rFonts w:ascii="Arial" w:cs="Arial" w:hAnsi="Arial"/>
          <w:szCs w:val="24"/>
        </w:rPr>
        <w:t xml:space="preserve">: é a delegação realizada pelo Poder Concedente a Concessionária, com autorização legal, para a prestação dos serviços públicos de abastecimento de água e de esgotamento sanitário, em carácter de exclusividade, objeto deste edital, por conta e risco da Concessionária e na Área de Concessão prevista no Edital e neste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Concessionária ou Contratada</w:t>
      </w:r>
      <w:r>
        <w:rPr>
          <w:rFonts w:ascii="Arial" w:cs="Arial" w:hAnsi="Arial"/>
          <w:szCs w:val="24"/>
        </w:rPr>
        <w:t xml:space="preserve">: Sociedade ou Consórcio constituído pela Licitante Vencedora da Licitação, que celebra o presente contrato, e será a prestadora dos serviços públicos de abastecimento de água e de esgotamento sanitário na Área de </w:t>
      </w:r>
    </w:p>
    <w:p>
      <w:pPr>
        <w:pStyle w:val="style0"/>
        <w:ind w:hanging="0" w:left="0" w:right="-26"/>
        <w:rPr>
          <w:rFonts w:ascii="Arial" w:cs="Arial" w:hAnsi="Arial"/>
          <w:szCs w:val="24"/>
        </w:rPr>
      </w:pPr>
      <w:r>
        <w:rPr>
          <w:rFonts w:ascii="Arial" w:cs="Arial" w:hAnsi="Arial"/>
          <w:szCs w:val="24"/>
        </w:rPr>
        <w:t xml:space="preserve">Concessão, nos termos do Edital, deste Contrato e demais anexos; </w:t>
      </w:r>
    </w:p>
    <w:p>
      <w:pPr>
        <w:pStyle w:val="style0"/>
        <w:ind w:hanging="0" w:left="0" w:right="-26"/>
        <w:rPr>
          <w:rFonts w:ascii="Arial" w:cs="Arial" w:hAnsi="Arial"/>
          <w:szCs w:val="24"/>
          <w:u w:val="single"/>
        </w:rPr>
      </w:pPr>
      <w:r>
        <w:rPr>
          <w:rFonts w:ascii="Arial" w:cs="Arial" w:hAnsi="Arial"/>
          <w:szCs w:val="24"/>
          <w:u w:val="single"/>
        </w:rPr>
      </w:r>
    </w:p>
    <w:p>
      <w:pPr>
        <w:pStyle w:val="style0"/>
        <w:ind w:hanging="0" w:left="0" w:right="-26"/>
        <w:rPr>
          <w:rFonts w:ascii="Arial" w:cs="Arial" w:hAnsi="Arial"/>
          <w:szCs w:val="24"/>
        </w:rPr>
      </w:pPr>
      <w:r>
        <w:rPr>
          <w:rFonts w:ascii="Arial" w:cs="Arial" w:hAnsi="Arial"/>
          <w:szCs w:val="24"/>
          <w:u w:val="single"/>
        </w:rPr>
        <w:t>Contrato ou Contrato de Concessão</w:t>
      </w:r>
      <w:r>
        <w:rPr>
          <w:rFonts w:ascii="Arial" w:cs="Arial" w:hAnsi="Arial"/>
          <w:szCs w:val="24"/>
        </w:rPr>
        <w:t xml:space="preserve">: é o presente Contrato de Concessão e seus anexos, incluindo a proposta da licitante vencedora, a ser celebrado entre o Poder Concedente e a Concessionária, que tem por objeto reger as condições de exploração dos serviços públicos de abastecimento de água e de esgotamento sanitário na área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Data Base da Proposta</w:t>
      </w:r>
      <w:r>
        <w:rPr>
          <w:rFonts w:ascii="Arial" w:cs="Arial" w:hAnsi="Arial"/>
          <w:szCs w:val="24"/>
        </w:rPr>
        <w:t xml:space="preserve">: data da apresentação da Proposta Comercial da licitante vencedora, que será utilizada como marco inicial para contagem dos prazos a serem aplicados para fins de reajuste e revisão das tarifas, nos termos do Edital, seus anexos e do presente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Data de Assunção</w:t>
      </w:r>
      <w:r>
        <w:rPr>
          <w:rFonts w:ascii="Arial" w:cs="Arial" w:hAnsi="Arial"/>
          <w:szCs w:val="24"/>
        </w:rPr>
        <w:t xml:space="preserve">: dia da emissão da Ordem de Serviço;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Edital</w:t>
      </w:r>
      <w:r>
        <w:rPr>
          <w:rFonts w:ascii="Arial" w:cs="Arial" w:hAnsi="Arial"/>
          <w:szCs w:val="24"/>
        </w:rPr>
        <w:t xml:space="preserve">: é o Edital de Concorrência nº 03/2015 e seus anexos, que se apresenta como instrumento convocatório e regulador dos termos e das condições desta Licitação, cujo objeto é a concessão da prestação dos serviços públicos de abastecimento de água e de esgotamento sanitário na área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Licitação</w:t>
      </w:r>
      <w:r>
        <w:rPr>
          <w:rFonts w:ascii="Arial" w:cs="Arial" w:hAnsi="Arial"/>
          <w:szCs w:val="24"/>
        </w:rPr>
        <w:t xml:space="preserve">: é o procedimento administrativo, objeto do Edital de Concorrência n° 03/2015, por meio do qual foi selecionada a proposta mais vantajosa, com vistas à celebração do presente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Licitante Vencedora</w:t>
      </w:r>
      <w:r>
        <w:rPr>
          <w:rFonts w:ascii="Arial" w:cs="Arial" w:hAnsi="Arial"/>
          <w:szCs w:val="24"/>
        </w:rPr>
        <w:t xml:space="preserve">: empresa isolada ou o consórcio de empresas que se sagrou vencedora da licitação;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Memorial Descritivo</w:t>
      </w:r>
      <w:r>
        <w:rPr>
          <w:rFonts w:ascii="Arial" w:cs="Arial" w:hAnsi="Arial"/>
          <w:szCs w:val="24"/>
        </w:rPr>
        <w:t xml:space="preserve">: é o conjunto de elementos, informações e dados constantes dos Anexos do Edital e deste Contrato, necessários para a exploração dos serviços públicos de abastecimento de água e de esgotamento sanitário no Município de Caçador, a exemplo do diagnóstico básico do sistema, das especificações do serviço adequado, das metas da concessão, dos bens a esta afetos e das demais informações necessárias e suficientes para caracterizar o objeto da presente licitação;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Ordem de Serviço</w:t>
      </w:r>
      <w:r>
        <w:rPr>
          <w:rFonts w:ascii="Arial" w:cs="Arial" w:hAnsi="Arial"/>
          <w:szCs w:val="24"/>
        </w:rPr>
        <w:t xml:space="preserve">: é a ordem emitida pelo Poder Concedente para o início efetivo da exploração da Concessão pela Concessionária, observado o disposto no Edital e neste Contrato de Concessão; </w:t>
      </w:r>
    </w:p>
    <w:p>
      <w:pPr>
        <w:pStyle w:val="style0"/>
        <w:spacing w:line="256" w:lineRule="auto"/>
        <w:ind w:hanging="0" w:left="0" w:right="-26"/>
        <w:rPr>
          <w:rFonts w:ascii="Arial" w:cs="Arial" w:hAnsi="Arial"/>
          <w:color w:val="2E74B5"/>
          <w:szCs w:val="24"/>
        </w:rPr>
      </w:pPr>
      <w:r>
        <w:rPr>
          <w:rFonts w:ascii="Arial" w:cs="Arial" w:hAnsi="Arial"/>
          <w:color w:val="2E74B5"/>
          <w:szCs w:val="24"/>
        </w:rPr>
        <w:t xml:space="preserve"> </w:t>
      </w:r>
    </w:p>
    <w:p>
      <w:pPr>
        <w:pStyle w:val="style0"/>
        <w:ind w:hanging="0" w:left="0" w:right="-26"/>
        <w:rPr>
          <w:rFonts w:ascii="Arial" w:cs="Arial" w:hAnsi="Arial"/>
          <w:szCs w:val="24"/>
        </w:rPr>
      </w:pPr>
      <w:r>
        <w:rPr>
          <w:rFonts w:ascii="Arial" w:cs="Arial" w:hAnsi="Arial"/>
          <w:szCs w:val="24"/>
          <w:u w:val="single"/>
        </w:rPr>
        <w:t>Partes</w:t>
      </w:r>
      <w:r>
        <w:rPr>
          <w:rFonts w:ascii="Arial" w:cs="Arial" w:hAnsi="Arial"/>
          <w:szCs w:val="24"/>
        </w:rPr>
        <w:t xml:space="preserve">: são o Poder Concedente e 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Plano de Saneamento</w:t>
      </w:r>
      <w:r>
        <w:rPr>
          <w:rFonts w:ascii="Arial" w:cs="Arial" w:hAnsi="Arial"/>
          <w:szCs w:val="24"/>
        </w:rPr>
        <w:t xml:space="preserve">: é o Plano de Saneamento Básico previsto nos termos da Lei nº 11.445/2007, constante do Anexo I do Edital;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Propostas</w:t>
      </w:r>
      <w:r>
        <w:rPr>
          <w:rFonts w:ascii="Arial" w:cs="Arial" w:hAnsi="Arial"/>
          <w:szCs w:val="24"/>
        </w:rPr>
        <w:t xml:space="preserve">: denominação conjunta da Proposta Técnica e da Proposta Comercial;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Proposta Comercial</w:t>
      </w:r>
      <w:r>
        <w:rPr>
          <w:rFonts w:ascii="Arial" w:cs="Arial" w:hAnsi="Arial"/>
          <w:szCs w:val="24"/>
        </w:rPr>
        <w:t xml:space="preserve">: é a proposta apresentada pela Licitante Vencedora, na qual foi estabelecido o valor da tarifa a ser aplicada na prestação dos serviços públicos de abastecimento de água e de esgotamento sanitário, acompanhada do plano de negócios, conforme Anexo VI deste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Proposta Técnica</w:t>
      </w:r>
      <w:r>
        <w:rPr>
          <w:rFonts w:ascii="Arial" w:cs="Arial" w:hAnsi="Arial"/>
          <w:szCs w:val="24"/>
        </w:rPr>
        <w:t xml:space="preserve">: é a proposta apresentada pela Licitante Vencedora, relativa metodologia para a implantação e a operação dos serviços públicos de abastecimento de água e de esgotamento sanitário e demais informações, conforme Anexo V deste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Reajuste</w:t>
      </w:r>
      <w:r>
        <w:rPr>
          <w:rFonts w:ascii="Arial" w:cs="Arial" w:hAnsi="Arial"/>
          <w:szCs w:val="24"/>
        </w:rPr>
        <w:t xml:space="preserve">: é a correção periódica dos valores das tarifas, que ocorrerá a cada 12 (doze) meses, contados da data-base, de acordo com os critérios estabelecidos no Edital e neste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Receitas Extraordinárias</w:t>
      </w:r>
      <w:r>
        <w:rPr>
          <w:rFonts w:ascii="Arial" w:cs="Arial" w:hAnsi="Arial"/>
          <w:szCs w:val="24"/>
        </w:rPr>
        <w:t xml:space="preserve">: são as receitas alternativas, complementares, acessórias ou oriundas de projetos associados que a Concessionária pode auferir, direta ou indiretamente, nos termos do Edital e deste Contrato de Concessão, ressalvados os serviços já autorizados no Edital e que integram o objeto do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Regulamento da Prestação dos Serviços</w:t>
      </w:r>
      <w:r>
        <w:rPr>
          <w:rFonts w:ascii="Arial" w:cs="Arial" w:hAnsi="Arial"/>
          <w:szCs w:val="24"/>
        </w:rPr>
        <w:t xml:space="preserve">: é o conjunto mínimo de normas que regulam a prestação dos serviços públicos de abastecimento de água e de esgotamento sanitário, contido no Anexo IX do Edital;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Revisão</w:t>
      </w:r>
      <w:r>
        <w:rPr>
          <w:rFonts w:ascii="Arial" w:cs="Arial" w:hAnsi="Arial"/>
          <w:szCs w:val="24"/>
        </w:rPr>
        <w:t xml:space="preserve">: é a revisão dos termos deste Contrato de Concessão, com vistas a recompor a equação econômico-financeira da Concessão inicialmente pactuada, observado o disposto neste instrumento e na legislação aplicável;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Serviços Complementares</w:t>
      </w:r>
      <w:r>
        <w:rPr>
          <w:rFonts w:ascii="Arial" w:cs="Arial" w:hAnsi="Arial"/>
          <w:szCs w:val="24"/>
        </w:rPr>
        <w:t xml:space="preserve">: conjunto de serviços auxiliares, complementares, correlatos e relacionados com o escopo dos serviços públicos de abastecimento de água e de esgotamento sanitário objeto da concessão e que serão prestados e cobrados pela Concessionária, bem como as atividades e os serviços cujo desenvolvimento e/ou prestação sejam relevantes para a adequada prestação e remuneração pela prestação dos serviços públicos de abastecimento de água e esgotamento sanitário, conforme estabelecido no Anexo IV do Edital;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Sistema</w:t>
      </w:r>
      <w:r>
        <w:rPr>
          <w:rFonts w:ascii="Arial" w:cs="Arial" w:hAnsi="Arial"/>
          <w:szCs w:val="24"/>
        </w:rPr>
        <w:t xml:space="preserve">: conjunto de bens, instalações, equipamentos, máquinas, aparelhos, edificações e acessórios integrantes dos sistemas de abastecimento de água e de esgotamento sanitário, necessários a prestação dos serviços públicos de abastecimento de água e de esgotamento sanitário que será assumido pela Concessionária quando da expedição, pelo Poder Concedente, da correspondente Ordem de Serviço, e que revertem ao Poder Concedente quando da extinção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Sistema de Abastecimento de Água</w:t>
      </w:r>
      <w:r>
        <w:rPr>
          <w:rFonts w:ascii="Arial" w:cs="Arial" w:hAnsi="Arial"/>
          <w:szCs w:val="24"/>
        </w:rPr>
        <w:t xml:space="preserve">: instalação composta por conjunto de infraestruturas, obras civis, materiais e equipamentos, destinados a produção e a distribuição canalizada de água potável para populações, incluindo neste: reservação de água bruta, captação, adução de água bruta, tratamento de Água, adução de água tratada e reservação de Água tratada;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Sistema de Esgotamento Sanitário</w:t>
      </w:r>
      <w:r>
        <w:rPr>
          <w:rFonts w:ascii="Arial" w:cs="Arial" w:hAnsi="Arial"/>
          <w:szCs w:val="24"/>
        </w:rPr>
        <w:t xml:space="preserve">: instalação composta por conjunto de infraestruturas, obras civis, materiais e equipamentos, destinada a coleta, transporte e tratamento de esgotos sanitários das populações, incluindo neste: coleta, inclusive ligação predial, dos esgotos sanitários; transporte dos esgotos sanitários; tratamento dos esgotos sanitários; e disposição final dos esgotos sanitários e dos lodos originários da operação de unidades de tratamento coletivas ou individuais, inclusive fossas sépticas; </w:t>
      </w:r>
    </w:p>
    <w:p>
      <w:pPr>
        <w:pStyle w:val="style0"/>
        <w:ind w:hanging="0" w:left="0" w:right="-26"/>
        <w:rPr>
          <w:rFonts w:ascii="Arial" w:cs="Arial" w:hAnsi="Arial"/>
          <w:szCs w:val="24"/>
          <w:u w:val="single"/>
        </w:rPr>
      </w:pPr>
      <w:r>
        <w:rPr>
          <w:rFonts w:ascii="Arial" w:cs="Arial" w:hAnsi="Arial"/>
          <w:szCs w:val="24"/>
          <w:u w:val="single"/>
        </w:rPr>
      </w:r>
    </w:p>
    <w:p>
      <w:pPr>
        <w:pStyle w:val="style0"/>
        <w:ind w:hanging="0" w:left="0" w:right="-26"/>
        <w:rPr>
          <w:rFonts w:ascii="Arial" w:cs="Arial" w:hAnsi="Arial"/>
          <w:szCs w:val="24"/>
        </w:rPr>
      </w:pPr>
      <w:r>
        <w:rPr>
          <w:rFonts w:ascii="Arial" w:cs="Arial" w:hAnsi="Arial"/>
          <w:szCs w:val="24"/>
          <w:u w:val="single"/>
        </w:rPr>
        <w:t>Tarifa</w:t>
      </w:r>
      <w:r>
        <w:rPr>
          <w:rFonts w:ascii="Arial" w:cs="Arial" w:hAnsi="Arial"/>
          <w:szCs w:val="24"/>
        </w:rPr>
        <w:t xml:space="preserve">: é o valor pecuniário constante da Proposta Comercial da Licitante Vencedora, nos termos do Edital e deste Contrato de Concessão, apta a manter o equilíbrio econômico e financeiro dos serviços concedidos;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u w:val="single"/>
        </w:rPr>
        <w:t>Usuário</w:t>
      </w:r>
      <w:r>
        <w:rPr>
          <w:rFonts w:ascii="Arial" w:cs="Arial" w:hAnsi="Arial"/>
          <w:szCs w:val="24"/>
        </w:rPr>
        <w:t xml:space="preserve">: pessoa ou grupo de pessoas que se utilizam dos serviços públicos de abastecimento de água e/ou de esgotamento sanitário na Área de Concessão, mediante pagamento de tarifa pública.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2ª - Legislação Aplicável</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0"/>
        <w:ind w:hanging="0" w:left="0" w:right="-26"/>
        <w:rPr>
          <w:rFonts w:ascii="Arial" w:cs="Arial" w:hAnsi="Arial"/>
          <w:szCs w:val="24"/>
        </w:rPr>
      </w:pPr>
      <w:r>
        <w:rPr>
          <w:rFonts w:ascii="Arial" w:cs="Arial" w:hAnsi="Arial"/>
          <w:szCs w:val="24"/>
        </w:rPr>
        <w:t xml:space="preserve">2.1. A presente concessão dos serviços públicos será regida pela Constituição da República, pela Lei Federal nº 11.445/2007, pela Lei Federal nº 8.987/1995, pela Lei Federal nº 9.074/1995, pela Lei Federal nº 8.666/1993, esta Última aplicada supletivamente; pelo Edital e seus anexos e pelo presente Contrato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3ª - Anexos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 Integram o Contrato, para todos os efeitos legais, os seguintes Anexos: </w:t>
      </w:r>
    </w:p>
    <w:p>
      <w:pPr>
        <w:pStyle w:val="style0"/>
        <w:ind w:hanging="0" w:left="426" w:right="-26"/>
        <w:rPr>
          <w:rFonts w:ascii="Arial" w:cs="Arial" w:hAnsi="Arial"/>
          <w:szCs w:val="24"/>
        </w:rPr>
      </w:pPr>
      <w:r>
        <w:rPr>
          <w:rFonts w:ascii="Arial" w:cs="Arial" w:hAnsi="Arial"/>
          <w:szCs w:val="24"/>
        </w:rPr>
        <w:t xml:space="preserve">Anexo I – Proposta Técnica da licitante vencedora, </w:t>
      </w:r>
    </w:p>
    <w:p>
      <w:pPr>
        <w:pStyle w:val="style0"/>
        <w:ind w:hanging="0" w:left="426" w:right="-26"/>
        <w:rPr>
          <w:rFonts w:ascii="Arial" w:cs="Arial" w:hAnsi="Arial"/>
          <w:szCs w:val="24"/>
        </w:rPr>
      </w:pPr>
      <w:r>
        <w:rPr>
          <w:rFonts w:ascii="Arial" w:cs="Arial" w:hAnsi="Arial"/>
          <w:szCs w:val="24"/>
        </w:rPr>
        <w:t xml:space="preserve">Anexo II – Proposta Comercial da licitante vencedora; e </w:t>
      </w:r>
    </w:p>
    <w:p>
      <w:pPr>
        <w:pStyle w:val="style0"/>
        <w:ind w:hanging="0" w:left="426" w:right="-26"/>
        <w:rPr>
          <w:rFonts w:ascii="Arial" w:cs="Arial" w:hAnsi="Arial"/>
          <w:szCs w:val="24"/>
        </w:rPr>
      </w:pPr>
      <w:r>
        <w:rPr>
          <w:rFonts w:ascii="Arial" w:cs="Arial" w:hAnsi="Arial"/>
          <w:szCs w:val="24"/>
        </w:rPr>
        <w:t xml:space="preserve">Anexo III – Edital de Concorrência Púbica n. 03/2015 e seus Anexos. </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r>
    </w:p>
    <w:p>
      <w:pPr>
        <w:pStyle w:val="style1"/>
        <w:ind w:hanging="0" w:left="0" w:right="-26"/>
        <w:rPr>
          <w:rFonts w:ascii="Arial" w:cs="Arial" w:hAnsi="Arial"/>
          <w:szCs w:val="24"/>
        </w:rPr>
      </w:pPr>
      <w:r>
        <w:rPr>
          <w:rFonts w:ascii="Arial" w:cs="Arial" w:hAnsi="Arial"/>
          <w:szCs w:val="24"/>
        </w:rPr>
        <w:t>Clausula 4ª - Regime Jurídico do Contrato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4.1. Este Contrato regula-se pelas suas disposições e por preceitos de Direito Público, aplicando-se, supletivamente, os princípios da Teoria Geral dos Contratos e disposições de Direito Privado, que lhe sejam especificas.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 O regime jurídico deste Contrato confere ao Poder Público, na forma da legislação aplicável e deste Contrato, as prerrogativas de: </w:t>
      </w:r>
    </w:p>
    <w:p>
      <w:pPr>
        <w:pStyle w:val="style0"/>
        <w:spacing w:line="244" w:lineRule="auto"/>
        <w:ind w:hanging="0" w:left="0" w:right="-26"/>
        <w:rPr>
          <w:rFonts w:ascii="Arial" w:cs="Arial" w:hAnsi="Arial"/>
          <w:szCs w:val="24"/>
        </w:rPr>
      </w:pPr>
      <w:r>
        <w:rPr>
          <w:rFonts w:ascii="Arial" w:cs="Arial" w:hAnsi="Arial"/>
          <w:szCs w:val="24"/>
        </w:rPr>
        <w:t xml:space="preserve">a) alterar unilateralmente o Contrato para melhor adequação das finalidades de interesse público, assegurado sempre o seu equilíbrio econômico-financeiro; </w:t>
      </w:r>
    </w:p>
    <w:p>
      <w:pPr>
        <w:pStyle w:val="style0"/>
        <w:spacing w:line="244" w:lineRule="auto"/>
        <w:ind w:hanging="0" w:left="0" w:right="-26"/>
        <w:rPr>
          <w:rFonts w:ascii="Arial" w:cs="Arial" w:hAnsi="Arial"/>
          <w:szCs w:val="24"/>
        </w:rPr>
      </w:pPr>
      <w:r>
        <w:rPr>
          <w:rFonts w:ascii="Arial" w:cs="Arial" w:hAnsi="Arial"/>
          <w:szCs w:val="24"/>
        </w:rPr>
        <w:t xml:space="preserve">b) promover a extinção do Contrato; </w:t>
      </w:r>
    </w:p>
    <w:p>
      <w:pPr>
        <w:pStyle w:val="style0"/>
        <w:spacing w:line="244" w:lineRule="auto"/>
        <w:ind w:hanging="0" w:left="0" w:right="-26"/>
        <w:rPr>
          <w:rFonts w:ascii="Arial" w:cs="Arial" w:hAnsi="Arial"/>
          <w:szCs w:val="24"/>
        </w:rPr>
      </w:pPr>
      <w:r>
        <w:rPr>
          <w:rFonts w:ascii="Arial" w:cs="Arial" w:hAnsi="Arial"/>
          <w:szCs w:val="24"/>
        </w:rPr>
        <w:t xml:space="preserve">c) fiscalizar a execução do Contrato; </w:t>
      </w:r>
    </w:p>
    <w:p>
      <w:pPr>
        <w:pStyle w:val="style0"/>
        <w:spacing w:line="244" w:lineRule="auto"/>
        <w:ind w:hanging="0" w:left="0" w:right="-26"/>
        <w:rPr>
          <w:rFonts w:ascii="Arial" w:cs="Arial" w:hAnsi="Arial"/>
          <w:szCs w:val="24"/>
        </w:rPr>
      </w:pPr>
      <w:r>
        <w:rPr>
          <w:rFonts w:ascii="Arial" w:cs="Arial" w:hAnsi="Arial"/>
          <w:szCs w:val="24"/>
        </w:rPr>
        <w:t xml:space="preserve">d) aplicar as sanções estipuladas neste Contrato, além das previstas em lei, em razão de sua inexecução parcial ou total.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5ª - Objeto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5.1. Disciplinar a relação entre as partes na prestação dos serviços públicos de abastecimento de água e de esgotamento sanitário na Área de Concessão, em caráter de exclusividade, obedecida a legislação vigente e as disposições deste Contrato, a ser prestado pela Concessionária aos Usuários que se localizam na Área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Clausula 6ª - Tipo da Concessão</w:t>
      </w:r>
    </w:p>
    <w:p>
      <w:pPr>
        <w:pStyle w:val="style0"/>
        <w:ind w:hanging="10" w:left="0" w:right="-26"/>
        <w:rPr>
          <w:rFonts w:ascii="Arial" w:cs="Arial" w:hAnsi="Arial"/>
          <w:szCs w:val="24"/>
        </w:rPr>
      </w:pPr>
      <w:r>
        <w:rPr>
          <w:rFonts w:ascii="Arial" w:cs="Arial" w:hAnsi="Arial"/>
          <w:szCs w:val="24"/>
        </w:rPr>
      </w:r>
    </w:p>
    <w:p>
      <w:pPr>
        <w:pStyle w:val="style0"/>
        <w:ind w:hanging="0" w:left="0" w:right="-26"/>
        <w:rPr>
          <w:rFonts w:ascii="Arial" w:cs="Arial" w:hAnsi="Arial"/>
          <w:szCs w:val="24"/>
        </w:rPr>
      </w:pPr>
      <w:r>
        <w:rPr>
          <w:rFonts w:ascii="Arial" w:cs="Arial" w:hAnsi="Arial"/>
          <w:szCs w:val="24"/>
        </w:rPr>
        <w:t xml:space="preserve">6.1. A presente Concessão é dos serviços públicos de abastecimento de agua e de esgotamento sanitário, nos termos da Lei Federal nº 8.987/1995, a ser explorada pela Concessionária, em caráter de exclusividade, mediante a cobrança de tarifa dos usuários que se localizam na Área de Concessão, nos termos estabelecidos neste Contrato e no Edital. </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r>
    </w:p>
    <w:p>
      <w:pPr>
        <w:pStyle w:val="style1"/>
        <w:ind w:hanging="0" w:left="0" w:right="-26"/>
        <w:rPr>
          <w:rFonts w:ascii="Arial" w:cs="Arial" w:hAnsi="Arial"/>
          <w:szCs w:val="24"/>
        </w:rPr>
      </w:pPr>
      <w:r>
        <w:rPr>
          <w:rFonts w:ascii="Arial" w:cs="Arial" w:hAnsi="Arial"/>
          <w:szCs w:val="24"/>
        </w:rPr>
        <w:t>Cláusula 7ª - Objetivos e Metas da Concessão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7.1. A Concessionária deverá, obrigatoriamente, cumprir as metas previstas nos Anexos deste Contrato, no que concerne aos serviços concedidos.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7.2. O Regulamento da Prestação dos Serviços concedidos, contido no Anexo IX do Edital e as Metas de Qualidades expressas no Termo de Referência (Anexo II), especificam o detalhamento das normas técnicas e parâmetros de qualidade aplicáveis, a serem observadas pela concessionária, para prestação dos serviços públicos de abastecimento de água e de esgotamento sanitário, bem como as relações entre a concessionária e 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7.3. A Concessionária, nos projetos de ampliação e implantação do sistema, deverá zelar pelas boas condições de saúde da população.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7.4. Na hipótese de a Concessionária ficar impedida de prestar, total ou parcialmente, os serviços públicos de abastecimento de água e de esgotamento sanitário, o Poder Concedente promoverá a redução proporcional dos objetivos e das metas da concessão, limitada na parte do serviço em que for a concessionária impedida de prestar, sem prejuízo de cumprimento, se for o caso, das demais disposições deste Contrato aplicáveis a espécie, observada, sempre, a manutenção do equilíbrio econômico-financeiro.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8ª -  Prazo da Concessão e de Vigência do Contrato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8.1. O prazo da Concessão é de 30 (trinta) anos contados da data de emissão da Ordem de Serviço. A vigência do Contrato dá-se da emissão da Ordem de Serviço até a completa satisfação das obrigações entre as partes.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8.2. O presente Contrato poderá ser prorrogado nos termos previstos na lei vigente e nos termos deste instrumento contratual.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shd w:fill="FFFF00" w:val="clear"/>
        </w:rPr>
      </w:pPr>
      <w:r>
        <w:rPr>
          <w:rFonts w:ascii="Arial" w:cs="Arial" w:hAnsi="Arial"/>
          <w:szCs w:val="24"/>
          <w:shd w:fill="FFFF00" w:val="clear"/>
        </w:rPr>
        <w:t>Cláusula 9ª - Valor Estimado do Contrato</w:t>
      </w:r>
    </w:p>
    <w:p>
      <w:pPr>
        <w:pStyle w:val="style0"/>
        <w:spacing w:line="256" w:lineRule="auto"/>
        <w:ind w:hanging="0" w:left="0" w:right="-26"/>
        <w:rPr>
          <w:rFonts w:ascii="Arial" w:cs="Arial" w:hAnsi="Arial"/>
          <w:szCs w:val="24"/>
          <w:shd w:fill="FFFF00" w:val="clear"/>
        </w:rPr>
      </w:pPr>
      <w:r>
        <w:rPr>
          <w:rFonts w:ascii="Arial" w:cs="Arial" w:hAnsi="Arial"/>
          <w:szCs w:val="24"/>
          <w:shd w:fill="FFFF00" w:val="clear"/>
        </w:rPr>
        <w:t xml:space="preserve"> </w:t>
      </w:r>
    </w:p>
    <w:p>
      <w:pPr>
        <w:pStyle w:val="style0"/>
        <w:ind w:hanging="0" w:left="0" w:right="-26"/>
        <w:rPr>
          <w:rFonts w:ascii="Arial" w:cs="Arial" w:hAnsi="Arial"/>
          <w:szCs w:val="24"/>
          <w:shd w:fill="FFFF00" w:val="clear"/>
        </w:rPr>
      </w:pPr>
      <w:r>
        <w:rPr>
          <w:rFonts w:ascii="Arial" w:cs="Arial" w:hAnsi="Arial"/>
          <w:szCs w:val="24"/>
          <w:shd w:fill="FFFF00" w:val="clear"/>
        </w:rPr>
        <w:t xml:space="preserve">9.1. O valor estimado do presente Contrato, para todos os fins e efeitos de direito, correspondente a valor R$________, este calculado com base no total das receitas projetadas pela Licitante Vencedora e constante de sua na Proposta Comercial.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10 - Bens Integrantes Da Concessão</w:t>
      </w:r>
    </w:p>
    <w:p>
      <w:pPr>
        <w:pStyle w:val="style0"/>
        <w:ind w:hanging="10" w:left="0" w:right="-26"/>
        <w:rPr>
          <w:rFonts w:ascii="Arial" w:cs="Arial" w:hAnsi="Arial"/>
          <w:szCs w:val="24"/>
        </w:rPr>
      </w:pPr>
      <w:r>
        <w:rPr>
          <w:rFonts w:ascii="Arial" w:cs="Arial" w:hAnsi="Arial"/>
          <w:szCs w:val="24"/>
        </w:rPr>
      </w:r>
    </w:p>
    <w:p>
      <w:pPr>
        <w:pStyle w:val="style0"/>
        <w:ind w:hanging="0" w:left="0" w:right="-26"/>
        <w:rPr>
          <w:rFonts w:ascii="Arial" w:cs="Arial" w:hAnsi="Arial"/>
          <w:szCs w:val="24"/>
        </w:rPr>
      </w:pPr>
      <w:r>
        <w:rPr>
          <w:rFonts w:ascii="Arial" w:cs="Arial" w:hAnsi="Arial"/>
          <w:szCs w:val="24"/>
        </w:rPr>
        <w:t xml:space="preserve">10.1. A Concessão será integrada pelos bens que lhe estão afetos, considerados como todas as instalações, os equipamentos, as máquinas, os aparelhos, as edificações, os acessórios, enfim todos os bens necessários e diretamente vinculados a adequada execução dos serviços etílicos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10.2. Os bens diretamente afetos a Concessão somente podem ser alienados com prévia autorização da Agência de Regulação, ou, na omissão desta, do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10.3. Os bens da Concessionária que não estejam afetos a Concessão e, portanto, não sejam considerados como essenciais a execução dos serviços públicos de abastecimento de água e de esgotamento sanitário poderão ser onerados ou alienados pela Concessionária, desde que tal oneração ou alienação não afete a qualidade dos serviços públicos de abastecimento de água e de esgotamento sanitário prestado ou na diminuição das condições econômicas, técnicas ou operacionais da Concessionária, para continuidade da adequada prestação do serviço. Nesse caso, deverá a Concessionária informar imediatamente a Agência de Regulação a respeito da alienação ou oneração do bem em questão.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10.4. Para os efeitos do disposto nos itens anteriores, os bens deverão estar devidamente registrados na contabilidade da Concessionária, de modo a permitir a sua fácil identificação pelo Poder Concedente e pela Agência de Regulação, observadas as normas de contabilidade e de regulação vigentes.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10.5. Quando da assunção dos serviços, as partes deverão assinar termo de recebimento provisório dos bens afetos A concessão existente a época no Município, podendo a Concessionária, no prazo de 180 (cento e oitenta) dias a contar dessa data, notificar o Poder Concedente a respeito de inconsistências, vícios ocultos, acréscimos ou supressões em relação aos bens constantes no termo de recebimento provisório.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10.6. Em até 180 (cento e oitenta) dias da data de assunção dos serviços públicos de abastecimento de água e de esgotamento sanitário as partes deverão assinar o termo de recebimento definitivo dos bens, que relacionará todos os bens afetos a Concessão entregues pelo Poder Concedente 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10.7. O Poder Concedente obriga-se a entregar os bens afetos a Concessão inteiramente livres e desembaraçados de quaisquer ônus ou encargos.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10.8. Os ônus decorrentes das desapropriações ou imposição de servidões administrativas de bens necessários a prestação dos serviços públicos de abastecimento de água e de esgotamento sanitário, seja por meio judicial ou amigavelmente, correrão às custas do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10.9. O disposto no item 10.8 anterior aplica-se também a autorização para ocupação provisória de bens imóveis, bem assim para o estabelecimento de limitações administrativas de caráter geral para o uso de bens imóveis necessários a prestação dos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jc w:val="center"/>
        <w:rPr>
          <w:rFonts w:ascii="Arial" w:cs="Arial" w:hAnsi="Arial"/>
          <w:b/>
          <w:szCs w:val="24"/>
        </w:rPr>
      </w:pPr>
      <w:r>
        <w:rPr>
          <w:rFonts w:ascii="Arial" w:cs="Arial" w:hAnsi="Arial"/>
          <w:b/>
          <w:szCs w:val="24"/>
        </w:rPr>
        <w:t>Cláusula 11 - Assunção de Riscos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11.1. A Concessionária, a partir da assunção do sistema, assumirá a responsabilidade pelos riscos e obrigações inerentes a exploração da Concessão, nos termos da legislação e do Anexo XI do Edital. </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r>
    </w:p>
    <w:p>
      <w:pPr>
        <w:pStyle w:val="style1"/>
        <w:ind w:hanging="0" w:left="0" w:right="-26"/>
        <w:rPr>
          <w:rFonts w:ascii="Arial" w:cs="Arial" w:hAnsi="Arial"/>
          <w:szCs w:val="24"/>
        </w:rPr>
      </w:pPr>
      <w:r>
        <w:rPr>
          <w:rFonts w:ascii="Arial" w:cs="Arial" w:hAnsi="Arial"/>
          <w:szCs w:val="24"/>
        </w:rPr>
        <w:t>Cláusula 12 - Financiamentos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12.1. A Concessionária é a única responsável pela obtenção dos recursos financeiros necessários a prestação dos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12.2. A Concessionária, nos contratos de financiamento, poderá oferecer em garantia os direitos emergentes da concessão, até o limite em que não seja comprometida a prestação dos serviços públicos delegados, nos termos e limites da legislação vigente.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12.3. Para garantir contratos de mútuo de longo prazo, em qualquer de suas modalidades, destinados a investimentos relacionados a este contrato, a Concessionária poderá ceder ao mutuante, mediante notificação formal ao Poder Concedente, em caráter fiduciário, parcela de seus créditos operacionais futuros, observadas as condições estabelecidas pela Lei Federal nº 8.987/1995.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12.4. A Concessionária não poderá opor ao Poder Concedente, por conta dos financiamentos de que trata esta cláusula, quaisquer exceções ou meios de defesa como justificativa para o descumprimento de qualquer condição estabelecida neste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13 - Serviço Público Adequado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13.1. A Concessionária, durante todo o prazo da Concessão, a partir da data de assunção do sistema, deverá prestar os serviços públicos de abastecimento de água e de esgotamento sanitário de acordo com o disposto neste Contrato, visando ao pleno e satisfatório atendimento dos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13.2. Para os efeitos do que estabelece o item 13.1, serviço adequado é o que tem condições efetivas de regularidade, continuidade, eficiência, segurança, atualidade, generalidade e cortesia na sua prestação e modicidade das tarifas cobradas dos usuários, e que atenda as metas de qualidade do Termo de Referência (Anexo II).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13.3. Ainda para os fins previstos no item 13.2 do Contrato, considera-se: </w:t>
      </w:r>
    </w:p>
    <w:p>
      <w:pPr>
        <w:pStyle w:val="style0"/>
        <w:numPr>
          <w:ilvl w:val="0"/>
          <w:numId w:val="1"/>
        </w:numPr>
        <w:ind w:hanging="360" w:left="10" w:right="-26"/>
        <w:rPr>
          <w:rFonts w:ascii="Arial" w:cs="Arial" w:hAnsi="Arial"/>
          <w:szCs w:val="24"/>
        </w:rPr>
      </w:pPr>
      <w:r>
        <w:rPr>
          <w:rFonts w:ascii="Arial" w:cs="Arial" w:hAnsi="Arial"/>
          <w:szCs w:val="24"/>
          <w:u w:val="single"/>
        </w:rPr>
        <w:t>regularidade</w:t>
      </w:r>
      <w:r>
        <w:rPr>
          <w:rFonts w:ascii="Arial" w:cs="Arial" w:hAnsi="Arial"/>
          <w:szCs w:val="24"/>
        </w:rPr>
        <w:t xml:space="preserve">: a prestação dos serviços públicos de abastecimento de água e de esgotamento sanitário nas condições estabelecidas neste contrato, no regulamento da prestação dos serviços e em outras normas técnicas em vigor; </w:t>
      </w:r>
    </w:p>
    <w:p>
      <w:pPr>
        <w:pStyle w:val="style0"/>
        <w:numPr>
          <w:ilvl w:val="0"/>
          <w:numId w:val="1"/>
        </w:numPr>
        <w:ind w:hanging="360" w:left="10" w:right="-26"/>
        <w:rPr>
          <w:rFonts w:ascii="Arial" w:cs="Arial" w:hAnsi="Arial"/>
          <w:szCs w:val="24"/>
        </w:rPr>
      </w:pPr>
      <w:r>
        <w:rPr>
          <w:rFonts w:ascii="Arial" w:cs="Arial" w:hAnsi="Arial"/>
          <w:szCs w:val="24"/>
          <w:u w:val="single"/>
        </w:rPr>
        <w:t>continuidade</w:t>
      </w:r>
      <w:r>
        <w:rPr>
          <w:rFonts w:ascii="Arial" w:cs="Arial" w:hAnsi="Arial"/>
          <w:szCs w:val="24"/>
        </w:rPr>
        <w:t xml:space="preserve">: a prestação dos serviços públicos de abastecimento de água e de esgotamento sanitário de modo continuo, sem interrupções, exceto nas situações previstas neste Contrato, no regulamento da prestação do serviço e nas demais normas em vigor; </w:t>
      </w:r>
    </w:p>
    <w:p>
      <w:pPr>
        <w:pStyle w:val="style0"/>
        <w:numPr>
          <w:ilvl w:val="0"/>
          <w:numId w:val="1"/>
        </w:numPr>
        <w:ind w:hanging="360" w:left="10" w:right="-26"/>
        <w:rPr>
          <w:rFonts w:ascii="Arial" w:cs="Arial" w:hAnsi="Arial"/>
          <w:szCs w:val="24"/>
        </w:rPr>
      </w:pPr>
      <w:r>
        <w:rPr>
          <w:rFonts w:ascii="Arial" w:cs="Arial" w:hAnsi="Arial"/>
          <w:szCs w:val="24"/>
          <w:u w:val="single"/>
        </w:rPr>
        <w:t>eficiência:</w:t>
      </w:r>
      <w:r>
        <w:rPr>
          <w:rFonts w:ascii="Arial" w:cs="Arial" w:hAnsi="Arial"/>
          <w:szCs w:val="24"/>
        </w:rPr>
        <w:t xml:space="preserve"> a execução dos serviços públicos de abastecimento de água e de esgotamento sanitário de acordo com as normas técnicas aplicáveis e em padrões satisfatórios estabelecidos no regulamento da prestação dos serviços, que assegurem, qualitativa e quantitativamente, em caráter permanente, o cumprimento dos objetivos e das metas da concessão; </w:t>
      </w:r>
    </w:p>
    <w:p>
      <w:pPr>
        <w:pStyle w:val="style0"/>
        <w:numPr>
          <w:ilvl w:val="0"/>
          <w:numId w:val="1"/>
        </w:numPr>
        <w:ind w:hanging="360" w:left="10" w:right="-26"/>
        <w:rPr>
          <w:rFonts w:ascii="Arial" w:cs="Arial" w:hAnsi="Arial"/>
          <w:szCs w:val="24"/>
        </w:rPr>
      </w:pPr>
      <w:r>
        <w:rPr>
          <w:rFonts w:ascii="Arial" w:cs="Arial" w:hAnsi="Arial"/>
          <w:szCs w:val="24"/>
          <w:u w:val="single"/>
        </w:rPr>
        <w:t>segurança</w:t>
      </w:r>
      <w:r>
        <w:rPr>
          <w:rFonts w:ascii="Arial" w:cs="Arial" w:hAnsi="Arial"/>
          <w:szCs w:val="24"/>
        </w:rPr>
        <w:t xml:space="preserve">: a execução dos serviços públicos de abastecimento de água e de esgotamento sanitário com a utilização de técnicas que visem a prevenção de danos aos usuários, aos empregados da Concessionária e as instalações do serviço, em condições de factibilidade econômica; </w:t>
      </w:r>
    </w:p>
    <w:p>
      <w:pPr>
        <w:pStyle w:val="style0"/>
        <w:numPr>
          <w:ilvl w:val="0"/>
          <w:numId w:val="1"/>
        </w:numPr>
        <w:ind w:hanging="360" w:left="10" w:right="-26"/>
        <w:rPr>
          <w:rFonts w:ascii="Arial" w:cs="Arial" w:hAnsi="Arial"/>
          <w:szCs w:val="24"/>
        </w:rPr>
      </w:pPr>
      <w:r>
        <w:rPr>
          <w:rFonts w:ascii="Arial" w:cs="Arial" w:hAnsi="Arial"/>
          <w:szCs w:val="24"/>
          <w:u w:val="single"/>
        </w:rPr>
        <w:t>atualidade</w:t>
      </w:r>
      <w:r>
        <w:rPr>
          <w:rFonts w:ascii="Arial" w:cs="Arial" w:hAnsi="Arial"/>
          <w:szCs w:val="24"/>
        </w:rPr>
        <w:t xml:space="preserve">: modernidade das técnicas, dos equipamentos e das instalações, sua conservação e manutenção, bem como a melhoria e expansão dos serviços públicos de abastecimento de água e de esgotamento sanitário; </w:t>
      </w:r>
    </w:p>
    <w:p>
      <w:pPr>
        <w:pStyle w:val="style0"/>
        <w:numPr>
          <w:ilvl w:val="0"/>
          <w:numId w:val="1"/>
        </w:numPr>
        <w:ind w:hanging="360" w:left="10" w:right="-26"/>
        <w:rPr>
          <w:rFonts w:ascii="Arial" w:cs="Arial" w:hAnsi="Arial"/>
          <w:szCs w:val="24"/>
        </w:rPr>
      </w:pPr>
      <w:r>
        <w:rPr>
          <w:rFonts w:ascii="Arial" w:cs="Arial" w:hAnsi="Arial"/>
          <w:szCs w:val="24"/>
          <w:u w:val="single"/>
        </w:rPr>
        <w:t>generalidade</w:t>
      </w:r>
      <w:r>
        <w:rPr>
          <w:rFonts w:ascii="Arial" w:cs="Arial" w:hAnsi="Arial"/>
          <w:szCs w:val="24"/>
        </w:rPr>
        <w:t xml:space="preserve">: universalidade do direito ao atendimento dos serviços públicos de abastecimento de água e de esgotamento sanitário, em conformidade com os termos deste Contrato, do regulamento da prestação dos serviços e demais normas aplicáveis; </w:t>
      </w:r>
    </w:p>
    <w:p>
      <w:pPr>
        <w:pStyle w:val="style0"/>
        <w:numPr>
          <w:ilvl w:val="0"/>
          <w:numId w:val="1"/>
        </w:numPr>
        <w:ind w:hanging="360" w:left="10" w:right="-26"/>
        <w:rPr>
          <w:rFonts w:ascii="Arial" w:cs="Arial" w:hAnsi="Arial"/>
          <w:szCs w:val="24"/>
        </w:rPr>
      </w:pPr>
      <w:r>
        <w:rPr>
          <w:rFonts w:ascii="Arial" w:cs="Arial" w:hAnsi="Arial"/>
          <w:szCs w:val="24"/>
          <w:u w:val="single"/>
        </w:rPr>
        <w:t>cortesia na prestação dos serviços</w:t>
      </w:r>
      <w:r>
        <w:rPr>
          <w:rFonts w:ascii="Arial" w:cs="Arial" w:hAnsi="Arial"/>
          <w:szCs w:val="24"/>
        </w:rPr>
        <w:t xml:space="preserve">: tratamento aos usuários com civilidade e urbanidade, assegurando o amplo acesso para a apresentação de reclamações; e </w:t>
      </w:r>
    </w:p>
    <w:p>
      <w:pPr>
        <w:pStyle w:val="style0"/>
        <w:numPr>
          <w:ilvl w:val="0"/>
          <w:numId w:val="1"/>
        </w:numPr>
        <w:ind w:hanging="360" w:left="10" w:right="-26"/>
        <w:rPr>
          <w:rFonts w:ascii="Arial" w:cs="Arial" w:hAnsi="Arial"/>
          <w:szCs w:val="24"/>
        </w:rPr>
      </w:pPr>
      <w:r>
        <w:rPr>
          <w:rFonts w:ascii="Arial" w:cs="Arial" w:hAnsi="Arial"/>
          <w:szCs w:val="24"/>
          <w:u w:val="single"/>
        </w:rPr>
        <w:t>modicidade das tarifas</w:t>
      </w:r>
      <w:r>
        <w:rPr>
          <w:rFonts w:ascii="Arial" w:cs="Arial" w:hAnsi="Arial"/>
          <w:szCs w:val="24"/>
        </w:rPr>
        <w:t xml:space="preserve">: a justa correlação entre os encargos da concessão e a tarifas pecuniárias pagas pelos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14 - Da Cobrança da Tarifa</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14.1. Caberá a Concessionária acompanhar e efetivar a mediação do consumo de Água, bem como a emissão das faturas para pagamento das Tarifas relativas a prestação dos serviços públicos de abastecimento de água e de esgotamento sanitário pelos usuários, conforme disposto neste Contrato e seus anexos.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14.2. Nos termos do item 14.1 acima, a partir da assunção do sistema ficará a cargo da Concessionária o acompanhamento da hidrometração e a expedição das respectivas faturas aos Usuários. </w:t>
      </w:r>
    </w:p>
    <w:p>
      <w:pPr>
        <w:pStyle w:val="style0"/>
        <w:spacing w:line="256" w:lineRule="auto"/>
        <w:ind w:hanging="0" w:left="0" w:right="-26"/>
        <w:rPr>
          <w:rFonts w:ascii="Arial" w:cs="Arial" w:hAnsi="Arial"/>
          <w:szCs w:val="24"/>
        </w:rPr>
      </w:pPr>
      <w:r>
        <w:rPr>
          <w:rFonts w:ascii="Arial" w:cs="Arial" w:hAnsi="Arial"/>
          <w:szCs w:val="24"/>
        </w:rPr>
      </w:r>
    </w:p>
    <w:p>
      <w:pPr>
        <w:pStyle w:val="style0"/>
        <w:ind w:hanging="0" w:left="0" w:right="-26"/>
        <w:rPr>
          <w:rFonts w:ascii="Arial" w:cs="Arial" w:hAnsi="Arial"/>
          <w:szCs w:val="24"/>
        </w:rPr>
      </w:pPr>
      <w:r>
        <w:rPr>
          <w:rFonts w:ascii="Arial" w:cs="Arial" w:hAnsi="Arial"/>
          <w:szCs w:val="24"/>
        </w:rPr>
        <w:t xml:space="preserve">14.3. Efetuado o pagamento da fatura pelo Usuário em conta corrente destinada para este fim, o agente arrecadador realizará a destinação dos valores correspondentes a remuneração da Concessionária pela prestação dos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14.3.1 A Concessionária poderá contratar outras empresas, instituições financeiras ou não, para funcionarem como agentes arrecadadores das quantias mencionadas na Cláusula 14.3, desde que não afete o cálculo do reajuste ou da revisão das Tarifas e o equilíbrio econômico-financeiro do Contrato, vedado o repasse dos respectivos custos para 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14.4 Para os Usuários atendidos somente pelos serviços de esgotamento sanitário a medição se dará com base no volume estimado de consumo de Água, observadas as eventuais normativas regulatórias existentes.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14.5 A etapa de transição, no início da Concessão, do sistema comercial existente para o ofertado pela Concessionária e os procedimentos de ajuste necessários deverão ser executados de modo a não interferir no relacionamento com os clientes. </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jc w:val="center"/>
        <w:rPr>
          <w:rFonts w:ascii="Arial" w:cs="Arial" w:hAnsi="Arial"/>
          <w:b/>
          <w:szCs w:val="24"/>
        </w:rPr>
      </w:pPr>
      <w:r>
        <w:rPr>
          <w:rFonts w:ascii="Arial" w:cs="Arial" w:hAnsi="Arial"/>
          <w:b/>
          <w:szCs w:val="24"/>
        </w:rPr>
        <w:t>Cláusula 15 - Sistema Tarifário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15.1. As Tarifas que irão remunerar a Concessionária e a estrutura tarifária aplicável a Concessão são aquelas apresentadas em conformidade com os Anexos deste Contrato, que entram imediatamente em vigor na data da assunção dos serviços pela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15.2. A tarifa de esgotamento sanitário será apurada com base no consumo de abastecimento de água do Usuário, com identidade entre o custo dos serviços de abastecimento de água e de esgotamento sanitário, nos termos do Edital, do Contrato de Concessão e dos respectivos anexos.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15.3. As tarifas serão preservadas pelas regras de reajuste e revisão previstas na Lei Federal nº 8.987/1995 e na Lei Federal n</w:t>
      </w:r>
      <w:r>
        <w:rPr/>
        <w:t>º</w:t>
      </w:r>
      <w:r>
        <w:rPr>
          <w:rFonts w:ascii="Arial" w:cs="Arial" w:hAnsi="Arial"/>
          <w:szCs w:val="24"/>
        </w:rPr>
        <w:t xml:space="preserve"> 11.445/2007, bem como pelas regras previstas neste Contrato e anexos, com a finalidade de assegurar as partes, durante todo o Prazo da Concessão, a manutenção do equilíbrio econômico-financeiro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15.4. Deverá a Concessionária destinar 5% (cinco por cento) dos recursos decorrentes da arrecadação bruta dos serviços públicos de abastecimento de água para o fundo municipal constante da Lei municipal nº 2.330/2006 de 07 de junho de 2006.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15.5. A cobrança dos serviços de esgotamento sanitário por parte da Concessionária somente iniciar-se-á após início de operação com coleta e tratamento dos esgotos sanitários.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16 - Fontes de Receita</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16.1. A Concessionária terá direito a receber, pela prestação dos serviços públicos de abastecimento de água e de esgotamento sanitário, a Tarifa conforme mencionado neste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16.2. A Concessionária terá, igualmente, direito de auferir a receita decorrente dos serviços complementares prestados aos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16.3. Os valores relativos aos Serviços Complementares são os constantes da proposta vencedora da licitação e constam dos anexos deste Contrato, sendo objeto de reajuste nos mesmos percentuais e na mesma ocasião do reajuste das tarifas, para os fins de manter-se inalterado o equilíbrio econômico-financeiro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16.4. A Concessionária poderá, a partir da assunção do sistema e mediante prévia aprovação do Poder Concedente, auferir as Receitas Extraordinárias, provenientes de receitas alternativas, complementares, acessórias ou de projetos associados aos serviços públicos de abastecimento de água e de esgotamento sanitário, desde que não acarrete prejuízo a normal prestação dos serviços públicos de abastecimento de água e de esgotamento sanitário, observado o disposto no artigo 11 da Lei Federal nº 8.987/1995.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16.5. Todas as receitas decorrentes da Concessão dos serviços deverão ser computadas como receitas para fins de manutenção do equilíbrio econômico-financeiro do contrato, observadas as normas do Edital, a legislação vigente e as normas de regulação aplicáveis ao caso.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17 - Sistema de Cobrança</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17.1. As tarifas serão cobradas dos Usuários que se localizem na área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17.2. A cobrança das tarifas aplicáveis aos volumes de água e de esgoto sanitário dar-se-á com base nos anexos deste Contrato, de forma a possibilitar a devida remuneração dos custos de operação, manutenção e investimentos realizados, observados, ainda, os termos do Regulamento da Prestação dos Serviços públicos de abastecimento de água e de esgotamento sanitário constante do Anexo IX do Edital.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17.3. Serão também lançados nas contas de consumo dos Usuários, quando for o caso, os valores correspondentes às multas e aos serviços complementares eventualmente executados, de acordo com o estabelecido no Regulamento da Prestação dos Serviços públicos de abastecimento de água e de esgotamento sanitário e neste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17.4. As contas de consumo dos Usuários devem observar a legislação e as normas regulatórias vigentes, bem como os anexos do Contrato e o Decreto Federal nº 5.440/2005.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17.5. O pagamento das faturas será efetuado em instituições financeiras que funcionem como agentes arrecadadores, desde que não afete o cálculo do Reajuste ou da Revisão da Tarifa e o equilíbrio econômico-financeiro do Contrato, sendo vedado o repasse dos respectivos custos para 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17.6. A Concessionária, na forma da lei aplicável, poderá incluir na fatura dos serviços públicos de abastecimento de água e de esgotamento sanitário valores relacionados a outros serviços prestados aos usuários, desde que com a anuência voluntaria destes.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Clausula 18 - Equilíbrio Econômico-financeiro do Contrato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18.1. Constitui condição fundamental do regime jurídico da concessão a manutenção do equilíbrio econômico-financeiro deste Contrato, a ser garantido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18.2. É pressuposto básico da equação econômico-financeira que regula as relações entre o Poder Concedente e a Concessionária o permanente equilíbrio entre os encargos da Concessionária e as receitas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18.3. Entende-se mantido o equilíbrio econômico-financeiro do Contrato de Concessão sempre que preservada a equações econômico-financeiro originalmente estabelecida entre o Poder Concedente e a Concessionária. </w:t>
      </w:r>
    </w:p>
    <w:p>
      <w:pPr>
        <w:pStyle w:val="style0"/>
        <w:ind w:hanging="0" w:left="0" w:right="-26"/>
        <w:rPr>
          <w:rFonts w:ascii="Arial" w:cs="Arial" w:hAnsi="Arial"/>
          <w:szCs w:val="24"/>
        </w:rPr>
      </w:pPr>
      <w:r>
        <w:rPr>
          <w:rFonts w:ascii="Arial" w:cs="Arial" w:hAnsi="Arial"/>
          <w:szCs w:val="24"/>
        </w:rPr>
      </w:r>
    </w:p>
    <w:p>
      <w:pPr>
        <w:pStyle w:val="style0"/>
        <w:ind w:hanging="0" w:left="0" w:right="-26"/>
        <w:rPr>
          <w:rFonts w:ascii="Arial" w:cs="Arial" w:hAnsi="Arial"/>
          <w:szCs w:val="24"/>
        </w:rPr>
      </w:pPr>
      <w:r>
        <w:rPr>
          <w:rFonts w:ascii="Arial" w:cs="Arial" w:hAnsi="Arial"/>
          <w:szCs w:val="24"/>
        </w:rPr>
        <w:t xml:space="preserve">18.4. O equilíbrio econômico-financeiro do Contrato de Concessão deverá ser mantido durante todo o prazo da concessão. Para tanto, o Poder Concedente garantirá a recomposição do equilíbrio Implementado por meio de: </w:t>
      </w:r>
    </w:p>
    <w:p>
      <w:pPr>
        <w:pStyle w:val="style0"/>
        <w:ind w:hanging="0" w:left="0" w:right="-26"/>
        <w:rPr>
          <w:rFonts w:ascii="Arial" w:cs="Arial" w:hAnsi="Arial"/>
          <w:szCs w:val="24"/>
        </w:rPr>
      </w:pPr>
      <w:r>
        <w:rPr>
          <w:rFonts w:ascii="Arial" w:cs="Arial" w:hAnsi="Arial"/>
          <w:szCs w:val="24"/>
        </w:rPr>
        <w:t>a)</w:t>
        <w:tab/>
        <w:t xml:space="preserve">revisão das tarifas; </w:t>
      </w:r>
    </w:p>
    <w:p>
      <w:pPr>
        <w:pStyle w:val="style0"/>
        <w:numPr>
          <w:ilvl w:val="0"/>
          <w:numId w:val="2"/>
        </w:numPr>
        <w:ind w:hanging="360" w:left="259" w:right="-26"/>
        <w:rPr>
          <w:rFonts w:ascii="Arial" w:cs="Arial" w:hAnsi="Arial"/>
          <w:szCs w:val="24"/>
        </w:rPr>
      </w:pPr>
      <w:r>
        <w:rPr>
          <w:rFonts w:ascii="Arial" w:cs="Arial" w:hAnsi="Arial"/>
          <w:szCs w:val="24"/>
        </w:rPr>
        <w:t xml:space="preserve">prorrogação do prazo da concessão; </w:t>
      </w:r>
    </w:p>
    <w:p>
      <w:pPr>
        <w:pStyle w:val="style0"/>
        <w:numPr>
          <w:ilvl w:val="0"/>
          <w:numId w:val="2"/>
        </w:numPr>
        <w:ind w:hanging="360" w:left="259" w:right="-26"/>
        <w:rPr>
          <w:rFonts w:ascii="Arial" w:cs="Arial" w:hAnsi="Arial"/>
          <w:szCs w:val="24"/>
        </w:rPr>
      </w:pPr>
      <w:r>
        <w:rPr>
          <w:rFonts w:ascii="Arial" w:cs="Arial" w:hAnsi="Arial"/>
          <w:szCs w:val="24"/>
        </w:rPr>
        <w:t xml:space="preserve">supressão e adição de encargos para a Concessionária; </w:t>
      </w:r>
    </w:p>
    <w:p>
      <w:pPr>
        <w:pStyle w:val="style0"/>
        <w:numPr>
          <w:ilvl w:val="0"/>
          <w:numId w:val="2"/>
        </w:numPr>
        <w:ind w:hanging="360" w:left="259" w:right="-26"/>
        <w:rPr>
          <w:rFonts w:ascii="Arial" w:cs="Arial" w:hAnsi="Arial"/>
          <w:szCs w:val="24"/>
        </w:rPr>
      </w:pPr>
      <w:r>
        <w:rPr>
          <w:rFonts w:ascii="Arial" w:cs="Arial" w:hAnsi="Arial"/>
          <w:szCs w:val="24"/>
        </w:rPr>
        <w:t xml:space="preserve">compensação financeira; e </w:t>
      </w:r>
    </w:p>
    <w:p>
      <w:pPr>
        <w:pStyle w:val="style0"/>
        <w:numPr>
          <w:ilvl w:val="0"/>
          <w:numId w:val="2"/>
        </w:numPr>
        <w:ind w:hanging="360" w:left="259" w:right="-26"/>
        <w:rPr>
          <w:rFonts w:ascii="Arial" w:cs="Arial" w:hAnsi="Arial"/>
          <w:szCs w:val="24"/>
        </w:rPr>
      </w:pPr>
      <w:r>
        <w:rPr>
          <w:rFonts w:ascii="Arial" w:cs="Arial" w:hAnsi="Arial"/>
          <w:szCs w:val="24"/>
        </w:rPr>
        <w:t xml:space="preserve">combinação entre as alternativas acima ou entre quaisquer delas e outros meios lícitos definidos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18.5. A recomposição do equilíbrio econômico-financeiro do Contrato de Concessão será implementada tomando por base a Taxa Interna de Retorno - TIR do projeto, considerada na Proposta Comercial vencedora, desde que sejam considerados os ganhos decorrentes de produtividade e da eficiência tecnológica, o aumento ou a redução extraordinária dos custos e/ou despesas da concessionária, bem como as alterações ocorridas no custo de oportunidade do negócio, de acordo com o parágrafo 2º do artigo 9º e inciso V do artigo 29 da Lei de Concessões. </w:t>
      </w:r>
    </w:p>
    <w:p>
      <w:pPr>
        <w:pStyle w:val="style0"/>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19 - Reajuste das Tarifas</w:t>
      </w:r>
    </w:p>
    <w:p>
      <w:pPr>
        <w:pStyle w:val="style0"/>
        <w:spacing w:after="5" w:before="0" w:line="232" w:lineRule="auto"/>
        <w:ind w:hanging="0" w:left="0" w:right="-26"/>
        <w:contextualSpacing w:val="false"/>
        <w:rPr>
          <w:rFonts w:ascii="Arial" w:cs="Arial" w:hAnsi="Arial"/>
          <w:szCs w:val="24"/>
        </w:rPr>
      </w:pPr>
      <w:r>
        <w:rPr>
          <w:rFonts w:ascii="Arial" w:cs="Arial" w:hAnsi="Arial"/>
          <w:b/>
          <w:szCs w:val="24"/>
        </w:rPr>
        <w:t xml:space="preserve"> </w:t>
      </w: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19.1. Os valores das tarifas serão reajustados a cada período de 12 (doze) meses, devendo o primeiro reajuste ocorrer após 12 (doze) meses contados da data da apresentação da proposta vencedora na Licitação pública.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19.2. Os reajustes tarifários que serão baseados mediante consideração exclusiva da Inflação ou deflação, seguirão fórmula paramétrica que reúne diversos componentes de variação de preços dos fatores efetivamente representativos dos serviços de abastecimento de água e esgotamento sanitário de Caçador, de forma a proporcionar a remuneração justa e conectada com a realidade dos serviços, em regime de eficiência.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19.3. Os reajustes tarifários baseados pela consideração exclusiva de inflação ou deflação serão calculados pela multiplicação do fator de correção (Fc) pela tarifa referencial proposta pela Licitante vencedora que está em vigor (Tv), obtendo assim o novo valor da tarifa referencial proposta, que aplicado aos coeficientes das categorias e faixas de consumo resultará na estrutura tarifária reajustada, conforme abaixo exposto: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Tr = Fc  x Tv, onde: </w:t>
      </w:r>
    </w:p>
    <w:p>
      <w:pPr>
        <w:pStyle w:val="style0"/>
        <w:ind w:hanging="0" w:left="0" w:right="-26"/>
        <w:rPr>
          <w:rFonts w:ascii="Arial" w:cs="Arial" w:hAnsi="Arial"/>
          <w:szCs w:val="24"/>
        </w:rPr>
      </w:pPr>
      <w:r>
        <w:rPr>
          <w:rFonts w:ascii="Arial" w:cs="Arial" w:hAnsi="Arial"/>
          <w:szCs w:val="24"/>
        </w:rPr>
        <w:t xml:space="preserve">Tr é a tarifa referencial reajustada; </w:t>
      </w:r>
    </w:p>
    <w:p>
      <w:pPr>
        <w:pStyle w:val="style0"/>
        <w:ind w:hanging="0" w:left="0" w:right="-26"/>
        <w:rPr>
          <w:rFonts w:ascii="Arial" w:cs="Arial" w:hAnsi="Arial"/>
          <w:szCs w:val="24"/>
        </w:rPr>
      </w:pPr>
      <w:r>
        <w:rPr>
          <w:rFonts w:ascii="Arial" w:cs="Arial" w:hAnsi="Arial"/>
          <w:szCs w:val="24"/>
        </w:rPr>
        <w:t xml:space="preserve">Tv é a tarifa referencial em vigor, anterior ao reajustamento. </w:t>
      </w:r>
    </w:p>
    <w:p>
      <w:pPr>
        <w:pStyle w:val="style0"/>
        <w:ind w:hanging="0" w:left="0" w:right="-26"/>
        <w:rPr>
          <w:rFonts w:ascii="Arial" w:cs="Arial" w:hAnsi="Arial"/>
          <w:szCs w:val="24"/>
        </w:rPr>
      </w:pPr>
      <w:r>
        <w:rPr>
          <w:rFonts w:ascii="Arial" w:cs="Arial" w:hAnsi="Arial"/>
          <w:szCs w:val="24"/>
        </w:rPr>
        <w:t xml:space="preserve">Fc  é o fator de reajustamento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19.4. O fator de reajustamento da tarifa em vigor será calculado conforme procedimento a seguir, que reflete a variação ponderada dos índices relativos aos principais componentes de custo considerados na sua formação: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Fc = [Pmo x (INPCi / INPCo) + Pee x (IEEi / IEEo) + Ppq x (IPA-27i / IPA-27o) + </w:t>
      </w:r>
    </w:p>
    <w:p>
      <w:pPr>
        <w:pStyle w:val="style0"/>
        <w:ind w:hanging="0" w:left="0" w:right="-26"/>
        <w:rPr>
          <w:rFonts w:ascii="Arial" w:cs="Arial" w:hAnsi="Arial"/>
          <w:szCs w:val="24"/>
        </w:rPr>
      </w:pPr>
      <w:r>
        <w:rPr>
          <w:rFonts w:ascii="Arial" w:cs="Arial" w:hAnsi="Arial"/>
          <w:szCs w:val="24"/>
        </w:rPr>
        <w:t xml:space="preserve">Pmm x (IPA-28i / IPA-28o) + Pve x (IPC-6Bi / IPC-6Bo) + Pin x (INCC-35i / INCC35o) + Pou x (IPCAi / IPCAo)]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onde: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Fc é o Fator de correção;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INPCi é o Índice Nacional de Preços ao Consumidor publicado pelo Instituto Brasileiro de Geografia e Estatística - IBGE, correspondente ao segundo mês anterior ao da alteração tarifária; </w:t>
      </w:r>
    </w:p>
    <w:p>
      <w:pPr>
        <w:pStyle w:val="style0"/>
        <w:ind w:hanging="0" w:left="0" w:right="-26"/>
        <w:rPr>
          <w:rFonts w:ascii="Arial" w:cs="Arial" w:hAnsi="Arial"/>
          <w:szCs w:val="24"/>
        </w:rPr>
      </w:pPr>
      <w:r>
        <w:rPr>
          <w:rFonts w:ascii="Arial" w:cs="Arial" w:hAnsi="Arial"/>
          <w:szCs w:val="24"/>
        </w:rPr>
        <w:t xml:space="preserve">INPCo é o mesmo índice acima, correspondente ao segundo mês anterior à data-base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IEEi é o valor da tarifa de energia elétrica referente ao Subgrupo B3 – Água, Esgoto e Saneamento, valor de consumo em MWh, praticado pela CELESC, correspondente ao segundo mês anterior ao da alteração tarifária; </w:t>
      </w:r>
    </w:p>
    <w:p>
      <w:pPr>
        <w:pStyle w:val="style0"/>
        <w:ind w:hanging="0" w:left="0" w:right="-26"/>
        <w:rPr>
          <w:rFonts w:ascii="Arial" w:cs="Arial" w:hAnsi="Arial"/>
          <w:szCs w:val="24"/>
        </w:rPr>
      </w:pPr>
      <w:r>
        <w:rPr>
          <w:rFonts w:ascii="Arial" w:cs="Arial" w:hAnsi="Arial"/>
          <w:szCs w:val="24"/>
        </w:rPr>
        <w:t xml:space="preserve">IEEo é o mesmo índice acima, correspondente ao segundo mês anterior à data-base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IPA-27i é o Índice de Preços por Atacado – produtos químicos da coluna 27, da Revista Conjuntura Econômica da Fundação Getúlio Vargas, correspondente ao segundo mês anterior ao da alteração tarifária; </w:t>
      </w:r>
    </w:p>
    <w:p>
      <w:pPr>
        <w:pStyle w:val="style0"/>
        <w:ind w:hanging="0" w:left="0" w:right="-26"/>
        <w:rPr>
          <w:rFonts w:ascii="Arial" w:cs="Arial" w:hAnsi="Arial"/>
          <w:szCs w:val="24"/>
        </w:rPr>
      </w:pPr>
      <w:r>
        <w:rPr>
          <w:rFonts w:ascii="Arial" w:cs="Arial" w:hAnsi="Arial"/>
          <w:szCs w:val="24"/>
        </w:rPr>
        <w:t xml:space="preserve">IPA-27o é o mesmo índice acima, correspondente ao segundo mês anterior à data-base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IPA-28i é o Índice de Preços por Atacado – material plástico da coluna 28, da Revista Conjuntura Econômica da Fundação Getúlio Vargas, correspondente ao segundo mês anterior ao da alteração tarifária; </w:t>
      </w:r>
    </w:p>
    <w:p>
      <w:pPr>
        <w:pStyle w:val="style0"/>
        <w:ind w:hanging="0" w:left="0" w:right="-26"/>
        <w:rPr>
          <w:rFonts w:ascii="Arial" w:cs="Arial" w:hAnsi="Arial"/>
          <w:szCs w:val="24"/>
        </w:rPr>
      </w:pPr>
      <w:r>
        <w:rPr>
          <w:rFonts w:ascii="Arial" w:cs="Arial" w:hAnsi="Arial"/>
          <w:szCs w:val="24"/>
        </w:rPr>
        <w:t xml:space="preserve">IPA-28o é o mesmo índice acima, correspondente ao segundo mês anterior à data-base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IPC-6Bi é o Índice de Preços ao Consumidor – transporte próprio da coluna 6B, da Revista Conjuntura Econômica da Fundação Getúlio Vargas, correspondente ao segundo mês anterior ao da alteração tarifária; </w:t>
      </w:r>
    </w:p>
    <w:p>
      <w:pPr>
        <w:pStyle w:val="style0"/>
        <w:ind w:hanging="0" w:left="0" w:right="-26"/>
        <w:rPr>
          <w:rFonts w:ascii="Arial" w:cs="Arial" w:hAnsi="Arial"/>
          <w:szCs w:val="24"/>
        </w:rPr>
      </w:pPr>
      <w:r>
        <w:rPr>
          <w:rFonts w:ascii="Arial" w:cs="Arial" w:hAnsi="Arial"/>
          <w:szCs w:val="24"/>
        </w:rPr>
        <w:t xml:space="preserve">IPC-6Bo é o mesmo índice acima, correspondente ao segundo mês anterior à database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INCC-35i é o Índice Nacional da Construção Civil e Obras Públicas (coluna 35) da Revista Conjuntura Econômica da Fundação Getúlio Vargas, correspondente ao segundo mês anterior ao da alteração tarifária; </w:t>
      </w:r>
    </w:p>
    <w:p>
      <w:pPr>
        <w:pStyle w:val="style0"/>
        <w:ind w:hanging="0" w:left="0" w:right="-26"/>
        <w:rPr>
          <w:rFonts w:ascii="Arial" w:cs="Arial" w:hAnsi="Arial"/>
          <w:szCs w:val="24"/>
        </w:rPr>
      </w:pPr>
      <w:r>
        <w:rPr>
          <w:rFonts w:ascii="Arial" w:cs="Arial" w:hAnsi="Arial"/>
          <w:szCs w:val="24"/>
        </w:rPr>
        <w:t xml:space="preserve">INCC-35o é o mesmo índice acima, correspondente ao segundo mês anterior à database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IPCAi é o Índice Nacional de Preços ao Consumidor Amplo publicado pelo Instituto Brasileiro de Geografia e Estatística - IBGE, correspondente ao segundo mês anterior ao da alteração tarifária; </w:t>
      </w:r>
    </w:p>
    <w:p>
      <w:pPr>
        <w:pStyle w:val="style0"/>
        <w:ind w:hanging="0" w:left="0" w:right="-26"/>
        <w:rPr>
          <w:rFonts w:ascii="Arial" w:cs="Arial" w:hAnsi="Arial"/>
          <w:szCs w:val="24"/>
        </w:rPr>
      </w:pPr>
      <w:r>
        <w:rPr>
          <w:rFonts w:ascii="Arial" w:cs="Arial" w:hAnsi="Arial"/>
          <w:szCs w:val="24"/>
        </w:rPr>
        <w:t xml:space="preserve">IPCAo é o mesmo índice acima, correspondente ao segundo mês anterior à data-base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Fatores de ponderação a serem aplicados sobre os índices definidos:</w:t>
      </w:r>
    </w:p>
    <w:p>
      <w:pPr>
        <w:pStyle w:val="style0"/>
        <w:ind w:hanging="0" w:left="0" w:right="-26"/>
        <w:rPr>
          <w:rFonts w:ascii="Arial" w:cs="Arial" w:hAnsi="Arial"/>
          <w:szCs w:val="24"/>
        </w:rPr>
      </w:pPr>
      <w:r>
        <w:rPr>
          <w:rFonts w:ascii="Arial" w:cs="Arial" w:hAnsi="Arial"/>
          <w:szCs w:val="24"/>
        </w:rPr>
        <w:t>Pmo: fator mão de obra = 28,89%</w:t>
      </w:r>
    </w:p>
    <w:p>
      <w:pPr>
        <w:pStyle w:val="style0"/>
        <w:ind w:hanging="0" w:left="0" w:right="-26"/>
        <w:rPr>
          <w:rFonts w:ascii="Arial" w:cs="Arial" w:hAnsi="Arial"/>
          <w:szCs w:val="24"/>
        </w:rPr>
      </w:pPr>
      <w:r>
        <w:rPr>
          <w:rFonts w:ascii="Arial" w:cs="Arial" w:hAnsi="Arial"/>
          <w:szCs w:val="24"/>
        </w:rPr>
        <w:t>Pee: fator energia elétrica = 9,26%</w:t>
      </w:r>
    </w:p>
    <w:p>
      <w:pPr>
        <w:pStyle w:val="style0"/>
        <w:ind w:hanging="0" w:left="0" w:right="-26"/>
        <w:rPr>
          <w:rFonts w:ascii="Arial" w:cs="Arial" w:hAnsi="Arial"/>
          <w:szCs w:val="24"/>
        </w:rPr>
      </w:pPr>
      <w:r>
        <w:rPr>
          <w:rFonts w:ascii="Arial" w:cs="Arial" w:hAnsi="Arial"/>
          <w:szCs w:val="24"/>
        </w:rPr>
        <w:t>Ppq: fator produtos químicos = 1,43%</w:t>
      </w:r>
    </w:p>
    <w:p>
      <w:pPr>
        <w:pStyle w:val="style0"/>
        <w:ind w:hanging="0" w:left="0" w:right="-26"/>
        <w:rPr>
          <w:rFonts w:ascii="Arial" w:cs="Arial" w:hAnsi="Arial"/>
          <w:szCs w:val="24"/>
        </w:rPr>
      </w:pPr>
      <w:r>
        <w:rPr>
          <w:rFonts w:ascii="Arial" w:cs="Arial" w:hAnsi="Arial"/>
          <w:szCs w:val="24"/>
        </w:rPr>
        <w:t>Pmm: fator materiais de manutenção = 2,02%</w:t>
      </w:r>
    </w:p>
    <w:p>
      <w:pPr>
        <w:pStyle w:val="style0"/>
        <w:ind w:hanging="0" w:left="0" w:right="-26"/>
        <w:rPr>
          <w:rFonts w:ascii="Arial" w:cs="Arial" w:hAnsi="Arial"/>
          <w:szCs w:val="24"/>
        </w:rPr>
      </w:pPr>
      <w:r>
        <w:rPr>
          <w:rFonts w:ascii="Arial" w:cs="Arial" w:hAnsi="Arial"/>
          <w:szCs w:val="24"/>
        </w:rPr>
        <w:t>Pve: fator veículos, equipamentos, combustíveis e lubrif. = 3,01%</w:t>
      </w:r>
    </w:p>
    <w:p>
      <w:pPr>
        <w:pStyle w:val="style0"/>
        <w:ind w:hanging="0" w:left="0" w:right="-26"/>
        <w:rPr>
          <w:rFonts w:ascii="Arial" w:cs="Arial" w:hAnsi="Arial"/>
          <w:szCs w:val="24"/>
        </w:rPr>
      </w:pPr>
      <w:r>
        <w:rPr>
          <w:rFonts w:ascii="Arial" w:cs="Arial" w:hAnsi="Arial"/>
          <w:szCs w:val="24"/>
        </w:rPr>
        <w:t>Pin: fator investimentos = 33,21%</w:t>
      </w:r>
    </w:p>
    <w:p>
      <w:pPr>
        <w:pStyle w:val="style0"/>
        <w:ind w:hanging="0" w:left="0" w:right="-26"/>
        <w:rPr>
          <w:rFonts w:ascii="Arial" w:cs="Arial" w:hAnsi="Arial"/>
          <w:szCs w:val="24"/>
        </w:rPr>
      </w:pPr>
      <w:r>
        <w:rPr>
          <w:rFonts w:ascii="Arial" w:cs="Arial" w:hAnsi="Arial"/>
          <w:szCs w:val="24"/>
        </w:rPr>
        <w:t>Pou: fator para demais custos que não enquadrados nos fatores acima = 22,18%</w:t>
      </w:r>
    </w:p>
    <w:p>
      <w:pPr>
        <w:pStyle w:val="style0"/>
        <w:ind w:hanging="0" w:left="0" w:right="-26"/>
        <w:rPr>
          <w:rFonts w:ascii="Arial" w:cs="Arial" w:hAnsi="Arial"/>
          <w:strike/>
          <w:szCs w:val="24"/>
        </w:rPr>
      </w:pPr>
      <w:r>
        <w:rPr>
          <w:rFonts w:ascii="Arial" w:cs="Arial" w:hAnsi="Arial"/>
          <w:strike/>
          <w:szCs w:val="24"/>
        </w:rPr>
      </w:r>
    </w:p>
    <w:p>
      <w:pPr>
        <w:pStyle w:val="style0"/>
        <w:spacing w:line="256" w:lineRule="auto"/>
        <w:ind w:hanging="0" w:left="0" w:right="-26"/>
        <w:rPr>
          <w:rFonts w:ascii="Arial" w:cs="Arial" w:hAnsi="Arial"/>
          <w:szCs w:val="24"/>
        </w:rPr>
      </w:pPr>
      <w:r>
        <w:rPr>
          <w:rFonts w:ascii="Arial" w:cs="Arial" w:hAnsi="Arial"/>
          <w:szCs w:val="24"/>
        </w:rPr>
        <w:t xml:space="preserve">19.5. Se por qualquer motivo for suspenso ou encerrado o cálculo de algum dos índices mencionados no item anterior, será adotado outro índice que retrate a variação de preços do componente de custos ou preços considerados, sendo este novo índice definido pela Agência Reguladora.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19.6. Os fatores de ponderação somente poderão ser alterados mediante revisão tarifária.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19.7. O cálculo do reajuste dos valores da tarifa será elaborado pela Concessionária, devendo ser submetido à apreciação da Agencia Reguladora, para que esta verifique a sua exatidão e definição no prazo de 15 (quinze) dias.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19.8. Em caso de não aprovação ou omissão da Agência de Regulação no prazo previsto no item anterior, o reajuste será aplicado sem necessidade de prévia homologado pela Agência Reguladora, podendo a mesma, a qualquer tempo, apurar inconsistências ou ilegalidades no reajustamento das tarifas, sem prejuízo do aplicado do reajuste das tarifas enquanto não encerrado o processo administrativa instaurado pela entidade de regulação para apurar a consistência do reajuste.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19.9. Em qualquer caso, a Concessionária sempre dará ampla e prévia divulgado aos Usuários do valor tarifário reajustado, mediante publicação em jornal de grande circulação no Âmbito da Área de Concessão, observada uma antecedência mínima de 30 (trinta) dias anteriores a data da entrada em vigor do novo valor da tarifa.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20 - Revisão Ordinária e Extraordinária das Tarifas</w:t>
      </w:r>
    </w:p>
    <w:p>
      <w:pPr>
        <w:pStyle w:val="style0"/>
        <w:spacing w:line="256" w:lineRule="auto"/>
        <w:ind w:hanging="0" w:left="0" w:right="-26"/>
        <w:rPr>
          <w:rFonts w:ascii="Arial" w:cs="Arial" w:hAnsi="Arial"/>
          <w:szCs w:val="24"/>
        </w:rPr>
      </w:pPr>
      <w:r>
        <w:rPr>
          <w:rFonts w:ascii="Arial" w:cs="Arial" w:hAnsi="Arial"/>
          <w:szCs w:val="24"/>
        </w:rPr>
      </w:r>
    </w:p>
    <w:p>
      <w:pPr>
        <w:pStyle w:val="style0"/>
        <w:ind w:hanging="0" w:left="0" w:right="-26"/>
        <w:rPr>
          <w:rFonts w:ascii="Arial" w:cs="Arial" w:hAnsi="Arial"/>
          <w:szCs w:val="24"/>
        </w:rPr>
      </w:pPr>
      <w:r>
        <w:rPr>
          <w:rFonts w:ascii="Arial" w:cs="Arial" w:hAnsi="Arial"/>
          <w:szCs w:val="24"/>
        </w:rPr>
        <w:t xml:space="preserve">20.1. A revisão tarifária dar-se de forma Ordinária ou Extraordinária.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20.2. A Revisão Ordinária dar-se-á a cada 4 (quatro) anos, contados da emissão da Ordem de Serviço, objetivando ajustes que captem eventuais distorções, para mais ou para menos, nos custos dos serviços públicos, nos insumos em geral, nos ganhos de produtividade, na qualidade e eficiência do serviço prestado e nas condições de mercado, nos termos do presente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20.2.1. Os ganhos de produtividade e a qualidade e eficiência do serviço prestado deverão ser analisados quando da Revisão Ordinária, conforme os indicadores e parâmetros constantes do Anexo II do Edital.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20.2.2 Competirá a Agência de Regulação definir os procedimentos e prazos do processo de Revisão Ordinária, mediante norma de regulação e observados os dispositivos do presente Contrato, assegurados a participação do Poder Concedente, da Concessionária e dos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20.2.3. Fica assegurado ao Poder Concedente e a Concessionária apresentar informações, estudos e laudos no decorrer do processo de Revisão Ordinária, no intuito de contribuir para a melhor análise dos impactos positivos e negativos ao longo da vigência da concessão dos serviços delegados.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20.3. A Revisão Extraordinária dar-se-á a qualquer momento e diante da ocorrência de fatos não previstos no Contrato, fora do controle do prestador dos serviços, que alterem o equilíbrio econômico-financeiro da concessão, tais como: </w:t>
      </w:r>
    </w:p>
    <w:p>
      <w:pPr>
        <w:pStyle w:val="style0"/>
        <w:numPr>
          <w:ilvl w:val="0"/>
          <w:numId w:val="3"/>
        </w:numPr>
        <w:ind w:hanging="360" w:left="10" w:right="-26"/>
        <w:rPr>
          <w:rFonts w:ascii="Arial" w:cs="Arial" w:hAnsi="Arial"/>
          <w:szCs w:val="24"/>
        </w:rPr>
      </w:pPr>
      <w:r>
        <w:rPr>
          <w:rFonts w:ascii="Arial" w:cs="Arial" w:hAnsi="Arial"/>
          <w:szCs w:val="24"/>
        </w:rPr>
        <w:t xml:space="preserve">modificação unilateral do Contrato de Concessão que importe variação dos custos ou das receitas da Concessionária, tanto para mais quanto para menos; </w:t>
      </w:r>
    </w:p>
    <w:p>
      <w:pPr>
        <w:pStyle w:val="style0"/>
        <w:numPr>
          <w:ilvl w:val="0"/>
          <w:numId w:val="3"/>
        </w:numPr>
        <w:ind w:hanging="360" w:left="10" w:right="-26"/>
        <w:rPr>
          <w:rFonts w:ascii="Arial" w:cs="Arial" w:hAnsi="Arial"/>
          <w:szCs w:val="24"/>
        </w:rPr>
      </w:pPr>
      <w:r>
        <w:rPr>
          <w:rFonts w:ascii="Arial" w:cs="Arial" w:hAnsi="Arial"/>
          <w:szCs w:val="24"/>
        </w:rPr>
        <w:t xml:space="preserve">ressalvados os impostos sobre a renda, a criação, alteração ou extinção de quaisquer tributos ou encargos legais, após a apresentação da Proposta Vencedora; </w:t>
      </w:r>
    </w:p>
    <w:p>
      <w:pPr>
        <w:pStyle w:val="style0"/>
        <w:numPr>
          <w:ilvl w:val="0"/>
          <w:numId w:val="3"/>
        </w:numPr>
        <w:ind w:hanging="360" w:left="10" w:right="-26"/>
        <w:rPr>
          <w:rFonts w:ascii="Arial" w:cs="Arial" w:hAnsi="Arial"/>
          <w:szCs w:val="24"/>
        </w:rPr>
      </w:pPr>
      <w:r>
        <w:rPr>
          <w:rFonts w:ascii="Arial" w:cs="Arial" w:hAnsi="Arial"/>
          <w:szCs w:val="24"/>
        </w:rPr>
        <w:t xml:space="preserve">alteração legislativa, em qualquer esfera federativa, que implique ônus a ser suportado pela Concessionária; </w:t>
      </w:r>
    </w:p>
    <w:p>
      <w:pPr>
        <w:pStyle w:val="style0"/>
        <w:numPr>
          <w:ilvl w:val="0"/>
          <w:numId w:val="3"/>
        </w:numPr>
        <w:ind w:hanging="360" w:left="10" w:right="-26"/>
        <w:rPr>
          <w:rFonts w:ascii="Arial" w:cs="Arial" w:hAnsi="Arial"/>
          <w:szCs w:val="24"/>
        </w:rPr>
      </w:pPr>
      <w:r>
        <w:rPr>
          <w:rFonts w:ascii="Arial" w:cs="Arial" w:hAnsi="Arial"/>
          <w:szCs w:val="24"/>
        </w:rPr>
        <w:t xml:space="preserve">ocorrência de fato do príncipe ou de fato da administração de que resultem, comprovadamente, variações nos custos ou nas receitas da Concessionária, incluindo determinações de autoridades administrativas ou judiciárias, inclusive por termos de ajustamento de conduta, que alterem os encargos da concessão, dentre eles, a modificação ou a antecipação dos objetivos e metas da concessão; </w:t>
      </w:r>
    </w:p>
    <w:p>
      <w:pPr>
        <w:pStyle w:val="style0"/>
        <w:numPr>
          <w:ilvl w:val="0"/>
          <w:numId w:val="3"/>
        </w:numPr>
        <w:ind w:hanging="360" w:left="10" w:right="-26"/>
        <w:rPr>
          <w:rFonts w:ascii="Arial" w:cs="Arial" w:hAnsi="Arial"/>
          <w:szCs w:val="24"/>
        </w:rPr>
      </w:pPr>
      <w:r>
        <w:rPr>
          <w:rFonts w:ascii="Arial" w:cs="Arial" w:hAnsi="Arial"/>
          <w:szCs w:val="24"/>
        </w:rPr>
        <w:t xml:space="preserve">ocorrência de caso fortuito, forca maior ou sujeições imprevistas que acarretem alteração dos custos ou das receitas da Concessionária e cuja responsabilidade não seja a ela atribuível; </w:t>
      </w:r>
    </w:p>
    <w:p>
      <w:pPr>
        <w:pStyle w:val="style0"/>
        <w:numPr>
          <w:ilvl w:val="0"/>
          <w:numId w:val="3"/>
        </w:numPr>
        <w:ind w:hanging="360" w:left="10" w:right="-26"/>
        <w:rPr>
          <w:rFonts w:ascii="Arial" w:cs="Arial" w:hAnsi="Arial"/>
          <w:szCs w:val="24"/>
        </w:rPr>
      </w:pPr>
      <w:r>
        <w:rPr>
          <w:rFonts w:ascii="Arial" w:cs="Arial" w:hAnsi="Arial"/>
          <w:szCs w:val="24"/>
        </w:rPr>
        <w:t xml:space="preserve">atualização do Plano Municipal de Saneamento Básico, implicando alteração nos custos, nos encargos ou nas receitas da Concessionária; </w:t>
      </w:r>
    </w:p>
    <w:p>
      <w:pPr>
        <w:pStyle w:val="style0"/>
        <w:numPr>
          <w:ilvl w:val="0"/>
          <w:numId w:val="3"/>
        </w:numPr>
        <w:ind w:hanging="360" w:left="10" w:right="-26"/>
        <w:rPr>
          <w:rFonts w:ascii="Arial" w:cs="Arial" w:hAnsi="Arial"/>
          <w:szCs w:val="24"/>
        </w:rPr>
      </w:pPr>
      <w:r>
        <w:rPr>
          <w:rFonts w:ascii="Arial" w:cs="Arial" w:hAnsi="Arial"/>
          <w:szCs w:val="24"/>
        </w:rPr>
        <w:t xml:space="preserve">custos não previstos no Edital e seus anexos, decorrentes da outorga onerosa do uso da água captada para abastecimento ou do lançamento dos efluentes em corpos de água;  </w:t>
      </w:r>
    </w:p>
    <w:p>
      <w:pPr>
        <w:pStyle w:val="style0"/>
        <w:numPr>
          <w:ilvl w:val="0"/>
          <w:numId w:val="3"/>
        </w:numPr>
        <w:ind w:hanging="360" w:left="10" w:right="-26"/>
        <w:rPr>
          <w:rFonts w:ascii="Arial" w:cs="Arial" w:hAnsi="Arial"/>
          <w:szCs w:val="24"/>
        </w:rPr>
      </w:pPr>
      <w:r>
        <w:rPr>
          <w:rFonts w:ascii="Arial" w:cs="Arial" w:hAnsi="Arial"/>
          <w:szCs w:val="24"/>
        </w:rPr>
        <w:t xml:space="preserve">demais casos não expressamente listados acima que venham a alterar o equilíbrio econômico-financeiro deste Contrato de Concessão e não causados por culpa ou dolo da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20.3.1. Ocorrendo qualquer dos eventos mencionados no item anterior, o Poder Concedente ou a Concessionária poderão encaminhar a Agência Reguladora o requerimento de Revisão Extraordinária, contendo todas as informações e dados necessários a análise do referido requerimento, acompanhado de relatório técnico ou de laudo pericial que demonstre, inequivocamente, o impacto ou a repercussão do evento sobre os principais componentes de custos e seus reflexos sobre as receitas da Concessionária, a fim de definir o novo valor das tarifas.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20.3.2. Caso a Agência Reguladora manifeste-se contrariamente ao requerimento de Revisão Extraordinária, deverá fazê-lo de forma amplamente motivada e dentro do prazo de 30 (trinta) dias da protocolização do pedido da Concessionária, respeitado o direito da mesma acionar a solução da controvérsia pelo mecanismo da arbitragem, nos termos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20.3.3. Decorrido o prazo de 30 (trinta) dias sem que tenha sido publicada manifestação conclusiva da Agência Reguladora sobre o pedido de Revisão, considerar-se-á este aprovado, devendo a própria Concessionária providenciar a sua publicação nos 15 (quinze) dias seguintes.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20.3.4. No prazo constante acima, poderá a Agencia Reguladora solicitar informações e estudos adicionais a Concessionária, prorrogando-se o prazo de 30 (trinta) dias para manifestação conclusiva a respeito do pedido de Revisão Extraordinária.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20.4. Sempre que se efetivar a Revisão Ordinária ou Extraordinária, considerar-se-á restabelecido o equilíbrio econômico-financeiro deste Contrato, sem prejuízo da ocorrência de outras situações fáticas ou jurídicas não contempladas e que venham a ensejar nova revisão.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20.5. Ao término da Revisão Ordinária ou Extraordinária poderão ser adotadas as seguintes ações para reequilibrar o Contrato de Concessão:</w:t>
      </w:r>
    </w:p>
    <w:p>
      <w:pPr>
        <w:pStyle w:val="style0"/>
        <w:ind w:hanging="0" w:left="0" w:right="-26"/>
        <w:rPr>
          <w:rFonts w:ascii="Arial" w:cs="Arial" w:hAnsi="Arial"/>
          <w:szCs w:val="24"/>
        </w:rPr>
      </w:pPr>
      <w:r>
        <w:rPr>
          <w:rFonts w:ascii="Arial" w:cs="Arial" w:hAnsi="Arial"/>
          <w:szCs w:val="24"/>
        </w:rPr>
        <w:t xml:space="preserve">a) majoração ou diminuição da tarifa pública; </w:t>
      </w:r>
    </w:p>
    <w:p>
      <w:pPr>
        <w:pStyle w:val="style0"/>
        <w:ind w:hanging="0" w:left="0" w:right="-26"/>
        <w:rPr>
          <w:rFonts w:ascii="Arial" w:cs="Arial" w:hAnsi="Arial"/>
          <w:szCs w:val="24"/>
        </w:rPr>
      </w:pPr>
      <w:r>
        <w:rPr>
          <w:rFonts w:ascii="Arial" w:cs="Arial" w:hAnsi="Arial"/>
          <w:szCs w:val="24"/>
        </w:rPr>
        <w:t xml:space="preserve">b) alteração dos prazos de cumprimento das metas estabelecidas nos anexos do Edital e deste Contrato de Concessão; </w:t>
      </w:r>
    </w:p>
    <w:p>
      <w:pPr>
        <w:pStyle w:val="style0"/>
        <w:ind w:hanging="0" w:left="0" w:right="-26"/>
        <w:rPr>
          <w:rFonts w:ascii="Arial" w:cs="Arial" w:hAnsi="Arial"/>
          <w:szCs w:val="24"/>
        </w:rPr>
      </w:pPr>
      <w:r>
        <w:rPr>
          <w:rFonts w:ascii="Arial" w:cs="Arial" w:hAnsi="Arial"/>
          <w:szCs w:val="24"/>
        </w:rPr>
        <w:t xml:space="preserve">c) compensação financeira; </w:t>
      </w:r>
    </w:p>
    <w:p>
      <w:pPr>
        <w:pStyle w:val="style0"/>
        <w:ind w:hanging="0" w:left="0" w:right="-26"/>
        <w:rPr>
          <w:rFonts w:ascii="Arial" w:cs="Arial" w:hAnsi="Arial"/>
          <w:szCs w:val="24"/>
        </w:rPr>
      </w:pPr>
      <w:r>
        <w:rPr>
          <w:rFonts w:ascii="Arial" w:cs="Arial" w:hAnsi="Arial"/>
          <w:szCs w:val="24"/>
        </w:rPr>
        <w:t xml:space="preserve">d) alteração do prazo de concessão, preservado o objeto e equilíbrio econômico-financeiro da concessão; e </w:t>
      </w:r>
    </w:p>
    <w:p>
      <w:pPr>
        <w:pStyle w:val="style0"/>
        <w:ind w:hanging="0" w:left="0" w:right="-26"/>
        <w:rPr>
          <w:rFonts w:ascii="Arial" w:cs="Arial" w:hAnsi="Arial"/>
          <w:szCs w:val="24"/>
        </w:rPr>
      </w:pPr>
      <w:r>
        <w:rPr>
          <w:rFonts w:ascii="Arial" w:cs="Arial" w:hAnsi="Arial"/>
          <w:szCs w:val="24"/>
        </w:rPr>
        <w:t xml:space="preserve">e) a combinação das alternativas anteriores, ou a adoção de outra medida licita e que seja de comum acordo entre as partes contratantes.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4"/>
        </w:numPr>
        <w:ind w:hanging="360" w:left="730" w:right="-26"/>
        <w:rPr>
          <w:rFonts w:ascii="Arial" w:cs="Arial" w:hAnsi="Arial"/>
          <w:szCs w:val="24"/>
        </w:rPr>
      </w:pPr>
      <w:r>
        <w:rPr>
          <w:rFonts w:ascii="Arial" w:cs="Arial" w:hAnsi="Arial"/>
          <w:szCs w:val="24"/>
        </w:rPr>
        <w:t xml:space="preserve">No processo de Revisão Ordinária será assegurada a realização de audiência e consulta pública a respeito das condições da concessão e das pretensões de ajuste da concessão, permitindo a contribuição de quaisquer interessados e o controle social.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4"/>
        </w:numPr>
        <w:ind w:hanging="360" w:left="730" w:right="-26"/>
        <w:rPr>
          <w:rFonts w:ascii="Arial" w:cs="Arial" w:hAnsi="Arial"/>
          <w:szCs w:val="24"/>
        </w:rPr>
      </w:pPr>
      <w:r>
        <w:rPr>
          <w:rFonts w:ascii="Arial" w:cs="Arial" w:hAnsi="Arial"/>
          <w:szCs w:val="24"/>
        </w:rPr>
        <w:t xml:space="preserve">O novo valor de Tarifa será amplamente divulgado aos usuários pela Agência Reguladora e pela Concessionária, mediante publicação em jornal de grande circulação local, observando-se a antecedência mínima de 30 (trinta) dias para a entrada em vigor do novo valor de tarifa pública.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21 - Direitos e Deveres dos Usuários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21.1. São deveres dos Usuários, sem prejuízo do disposto na legislação aplicável, respeitar e fazer valer o que se encontra disposto no presente Contrato, no Regulamento da Prestação dos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21.2. Constituem direitos e deveres dos Usuários, sem prejuízo do disposto na legislação aplicável, neste Contrato e no Regulamento da Prestação dos Serviços públicos de abastecimento de água e de esgotamento sanitário, o seguinte: </w:t>
      </w:r>
    </w:p>
    <w:p>
      <w:pPr>
        <w:pStyle w:val="style0"/>
        <w:numPr>
          <w:ilvl w:val="0"/>
          <w:numId w:val="5"/>
        </w:numPr>
        <w:ind w:hanging="360" w:left="391" w:right="-26"/>
        <w:rPr>
          <w:rFonts w:ascii="Arial" w:cs="Arial" w:hAnsi="Arial"/>
          <w:szCs w:val="24"/>
        </w:rPr>
      </w:pPr>
      <w:r>
        <w:rPr>
          <w:rFonts w:ascii="Arial" w:cs="Arial" w:hAnsi="Arial"/>
          <w:szCs w:val="24"/>
        </w:rPr>
        <w:t xml:space="preserve">receber o serviço público de esgotamento sanitário em condições adequadas, de acordo com o previsto neste Contrato e, em contrapartida, pagar a respectiva tarifa; </w:t>
      </w:r>
    </w:p>
    <w:p>
      <w:pPr>
        <w:pStyle w:val="style0"/>
        <w:numPr>
          <w:ilvl w:val="0"/>
          <w:numId w:val="5"/>
        </w:numPr>
        <w:ind w:hanging="360" w:left="391" w:right="-26"/>
        <w:rPr>
          <w:rFonts w:ascii="Arial" w:cs="Arial" w:hAnsi="Arial"/>
          <w:szCs w:val="24"/>
        </w:rPr>
      </w:pPr>
      <w:r>
        <w:rPr>
          <w:rFonts w:ascii="Arial" w:cs="Arial" w:hAnsi="Arial"/>
          <w:szCs w:val="24"/>
        </w:rPr>
        <w:t xml:space="preserve">receber do Poder Concedente e da Concessionária as informações necessárias para a defesa dos interesses individuais ou coletivos; </w:t>
      </w:r>
    </w:p>
    <w:p>
      <w:pPr>
        <w:pStyle w:val="style0"/>
        <w:numPr>
          <w:ilvl w:val="0"/>
          <w:numId w:val="5"/>
        </w:numPr>
        <w:ind w:hanging="360" w:left="391" w:right="-26"/>
        <w:rPr>
          <w:rFonts w:ascii="Arial" w:cs="Arial" w:hAnsi="Arial"/>
          <w:szCs w:val="24"/>
        </w:rPr>
      </w:pPr>
      <w:r>
        <w:rPr>
          <w:rFonts w:ascii="Arial" w:cs="Arial" w:hAnsi="Arial"/>
          <w:szCs w:val="24"/>
        </w:rPr>
        <w:t xml:space="preserve">levar ao conhecimento da Concessionária as irregularidades das quais venham a ter conhecimento, referentes a concessão; </w:t>
      </w:r>
    </w:p>
    <w:p>
      <w:pPr>
        <w:pStyle w:val="style0"/>
        <w:numPr>
          <w:ilvl w:val="0"/>
          <w:numId w:val="5"/>
        </w:numPr>
        <w:ind w:hanging="360" w:left="391" w:right="-26"/>
        <w:rPr>
          <w:rFonts w:ascii="Arial" w:cs="Arial" w:hAnsi="Arial"/>
          <w:szCs w:val="24"/>
        </w:rPr>
      </w:pPr>
      <w:r>
        <w:rPr>
          <w:rFonts w:ascii="Arial" w:cs="Arial" w:hAnsi="Arial"/>
          <w:szCs w:val="24"/>
        </w:rPr>
        <w:t xml:space="preserve">comunicar ao Poder Concedente os atos ilícitos ou irregulares porventura praticados pela Concessionária ou seus prepostos na execução do contrato; </w:t>
      </w:r>
    </w:p>
    <w:p>
      <w:pPr>
        <w:pStyle w:val="style0"/>
        <w:numPr>
          <w:ilvl w:val="0"/>
          <w:numId w:val="5"/>
        </w:numPr>
        <w:ind w:hanging="360" w:left="391" w:right="-26"/>
        <w:rPr>
          <w:rFonts w:ascii="Arial" w:cs="Arial" w:hAnsi="Arial"/>
          <w:szCs w:val="24"/>
        </w:rPr>
      </w:pPr>
      <w:r>
        <w:rPr>
          <w:rFonts w:ascii="Arial" w:cs="Arial" w:hAnsi="Arial"/>
          <w:szCs w:val="24"/>
        </w:rPr>
        <w:t xml:space="preserve">utilizar os serviços públicos de abastecimento de água e de esgotamento sanitário de forma racional e parcimoniosa, evitando os desperdícios e colaborando com a preservação dos recursos naturais; </w:t>
      </w:r>
    </w:p>
    <w:p>
      <w:pPr>
        <w:pStyle w:val="style0"/>
        <w:numPr>
          <w:ilvl w:val="0"/>
          <w:numId w:val="5"/>
        </w:numPr>
        <w:ind w:hanging="360" w:left="391" w:right="-26"/>
        <w:rPr>
          <w:rFonts w:ascii="Arial" w:cs="Arial" w:hAnsi="Arial"/>
          <w:szCs w:val="24"/>
        </w:rPr>
      </w:pPr>
      <w:r>
        <w:rPr>
          <w:rFonts w:ascii="Arial" w:cs="Arial" w:hAnsi="Arial"/>
          <w:szCs w:val="24"/>
        </w:rPr>
        <w:t xml:space="preserve">quando solicitado, prestar as informações necessárias para que o serviço possa-lhe ser prestado de forma adequada e racional, responsabilizando-se pela incorreção ou omissão; </w:t>
      </w:r>
    </w:p>
    <w:p>
      <w:pPr>
        <w:pStyle w:val="style0"/>
        <w:numPr>
          <w:ilvl w:val="0"/>
          <w:numId w:val="5"/>
        </w:numPr>
        <w:ind w:hanging="360" w:left="391" w:right="-26"/>
        <w:rPr>
          <w:rFonts w:ascii="Arial" w:cs="Arial" w:hAnsi="Arial"/>
          <w:szCs w:val="24"/>
        </w:rPr>
      </w:pPr>
      <w:r>
        <w:rPr>
          <w:rFonts w:ascii="Arial" w:cs="Arial" w:hAnsi="Arial"/>
          <w:szCs w:val="24"/>
        </w:rPr>
        <w:t xml:space="preserve">contribuir para a permanência das boas condições do sistema e dos bens públicos, por intermédio dos quais lhes é prestado os serviços públicos de abastecimento de água e de esgotamento sanitário; </w:t>
      </w:r>
    </w:p>
    <w:p>
      <w:pPr>
        <w:pStyle w:val="style0"/>
        <w:numPr>
          <w:ilvl w:val="0"/>
          <w:numId w:val="5"/>
        </w:numPr>
        <w:ind w:hanging="360" w:left="391" w:right="-26"/>
        <w:rPr>
          <w:rFonts w:ascii="Arial" w:cs="Arial" w:hAnsi="Arial"/>
          <w:szCs w:val="24"/>
        </w:rPr>
      </w:pPr>
      <w:r>
        <w:rPr>
          <w:rFonts w:ascii="Arial" w:cs="Arial" w:hAnsi="Arial"/>
          <w:szCs w:val="24"/>
        </w:rPr>
        <w:t xml:space="preserve">conectarem-se as redes integrantes do sistema, assim que for tecnicamente possível ou, quando admitido por lei ou por outro instrumento de regulação, manter sistema próprio de esgotamento sanitário que atenda integralmente a todas as normas aplicáveis; </w:t>
      </w:r>
    </w:p>
    <w:p>
      <w:pPr>
        <w:pStyle w:val="style0"/>
        <w:numPr>
          <w:ilvl w:val="0"/>
          <w:numId w:val="5"/>
        </w:numPr>
        <w:ind w:hanging="360" w:left="391" w:right="-26"/>
        <w:rPr>
          <w:rFonts w:ascii="Arial" w:cs="Arial" w:hAnsi="Arial"/>
          <w:szCs w:val="24"/>
        </w:rPr>
      </w:pPr>
      <w:r>
        <w:rPr>
          <w:rFonts w:ascii="Arial" w:cs="Arial" w:hAnsi="Arial"/>
          <w:szCs w:val="24"/>
        </w:rPr>
        <w:t xml:space="preserve">manter-se adimplente no pagamento da tarifa cobrada pelo fornecimento de Água e pela prestação dos serviços públicos de abastecimento de Água e de esgotamento sanitário, nos termos deste Contrato de Concessão e do Regulamento da Prestação dos Serviços Públicos de Abastecimento de Água e de Esgotamento Sanitário (Anexo X do Edital), sob pena de interrupção da prestação do serviço de abastecimento de Água, após prévia comunicação ao Usuário; </w:t>
      </w:r>
    </w:p>
    <w:p>
      <w:pPr>
        <w:pStyle w:val="style0"/>
        <w:numPr>
          <w:ilvl w:val="0"/>
          <w:numId w:val="5"/>
        </w:numPr>
        <w:ind w:hanging="360" w:left="391" w:right="-26"/>
        <w:rPr>
          <w:rFonts w:ascii="Arial" w:cs="Arial" w:hAnsi="Arial"/>
          <w:szCs w:val="24"/>
        </w:rPr>
      </w:pPr>
      <w:r>
        <w:rPr>
          <w:rFonts w:ascii="Arial" w:cs="Arial" w:hAnsi="Arial"/>
          <w:szCs w:val="24"/>
        </w:rPr>
        <w:t xml:space="preserve">pagar os valores cobrados pelos serviços complementares prestados pela </w:t>
      </w:r>
    </w:p>
    <w:p>
      <w:pPr>
        <w:pStyle w:val="style0"/>
        <w:ind w:hanging="0" w:left="0" w:right="-26"/>
        <w:rPr>
          <w:rFonts w:ascii="Arial" w:cs="Arial" w:hAnsi="Arial"/>
          <w:szCs w:val="24"/>
        </w:rPr>
      </w:pPr>
      <w:r>
        <w:rPr>
          <w:rFonts w:ascii="Arial" w:cs="Arial" w:hAnsi="Arial"/>
          <w:szCs w:val="24"/>
        </w:rPr>
        <w:t xml:space="preserve">Concessionária, bem como pagar as penalidades legais em caso de inadimplemento; </w:t>
      </w:r>
    </w:p>
    <w:p>
      <w:pPr>
        <w:pStyle w:val="style0"/>
        <w:numPr>
          <w:ilvl w:val="0"/>
          <w:numId w:val="5"/>
        </w:numPr>
        <w:ind w:hanging="360" w:left="391" w:right="-26"/>
        <w:rPr>
          <w:rFonts w:ascii="Arial" w:cs="Arial" w:hAnsi="Arial"/>
          <w:szCs w:val="24"/>
        </w:rPr>
      </w:pPr>
      <w:r>
        <w:rPr>
          <w:rFonts w:ascii="Arial" w:cs="Arial" w:hAnsi="Arial"/>
          <w:szCs w:val="24"/>
        </w:rPr>
        <w:t xml:space="preserve">permitir a instalação de hidrômetro quando previamente notificado pela </w:t>
      </w:r>
    </w:p>
    <w:p>
      <w:pPr>
        <w:pStyle w:val="style0"/>
        <w:ind w:hanging="0" w:left="0" w:right="-26"/>
        <w:rPr>
          <w:rFonts w:ascii="Arial" w:cs="Arial" w:hAnsi="Arial"/>
          <w:szCs w:val="24"/>
        </w:rPr>
      </w:pPr>
      <w:r>
        <w:rPr>
          <w:rFonts w:ascii="Arial" w:cs="Arial" w:hAnsi="Arial"/>
          <w:szCs w:val="24"/>
        </w:rPr>
        <w:t xml:space="preserve">Concessionária a respeito; </w:t>
      </w:r>
    </w:p>
    <w:p>
      <w:pPr>
        <w:pStyle w:val="style0"/>
        <w:numPr>
          <w:ilvl w:val="0"/>
          <w:numId w:val="5"/>
        </w:numPr>
        <w:ind w:hanging="360" w:left="391" w:right="-26"/>
        <w:rPr>
          <w:rFonts w:ascii="Arial" w:cs="Arial" w:hAnsi="Arial"/>
          <w:szCs w:val="24"/>
        </w:rPr>
      </w:pPr>
      <w:r>
        <w:rPr>
          <w:rFonts w:ascii="Arial" w:cs="Arial" w:hAnsi="Arial"/>
          <w:szCs w:val="24"/>
        </w:rPr>
        <w:t xml:space="preserve">cumprir o regulamento da prestação do serviço e demais legislação aplicável, inclusive a relativa a despejos industriais; </w:t>
      </w:r>
    </w:p>
    <w:p>
      <w:pPr>
        <w:pStyle w:val="style0"/>
        <w:numPr>
          <w:ilvl w:val="0"/>
          <w:numId w:val="5"/>
        </w:numPr>
        <w:ind w:hanging="360" w:left="391" w:right="-26"/>
        <w:rPr>
          <w:rFonts w:ascii="Arial" w:cs="Arial" w:hAnsi="Arial"/>
          <w:szCs w:val="24"/>
        </w:rPr>
      </w:pPr>
      <w:r>
        <w:rPr>
          <w:rFonts w:ascii="Arial" w:cs="Arial" w:hAnsi="Arial"/>
          <w:szCs w:val="24"/>
        </w:rPr>
        <w:t xml:space="preserve">receber da Concessionária as informações necessárias a utilização dos serviços públicos de abastecimento de Água e de esgotamento sanitário; </w:t>
      </w:r>
    </w:p>
    <w:p>
      <w:pPr>
        <w:pStyle w:val="style0"/>
        <w:numPr>
          <w:ilvl w:val="0"/>
          <w:numId w:val="5"/>
        </w:numPr>
        <w:ind w:hanging="360" w:left="391" w:right="-26"/>
        <w:rPr>
          <w:rFonts w:ascii="Arial" w:cs="Arial" w:hAnsi="Arial"/>
          <w:szCs w:val="24"/>
        </w:rPr>
      </w:pPr>
      <w:r>
        <w:rPr>
          <w:rFonts w:ascii="Arial" w:cs="Arial" w:hAnsi="Arial"/>
          <w:szCs w:val="24"/>
        </w:rPr>
        <w:t xml:space="preserve">ter sob sua guarda e em bom estado os comprovantes de pagamento de débitos, os quais deverão ser apresentados para fins de conferência e comprovação de pagamento, quando solicitados; </w:t>
      </w:r>
    </w:p>
    <w:p>
      <w:pPr>
        <w:pStyle w:val="style0"/>
        <w:numPr>
          <w:ilvl w:val="0"/>
          <w:numId w:val="5"/>
        </w:numPr>
        <w:ind w:hanging="360" w:left="391" w:right="-26"/>
        <w:rPr>
          <w:rFonts w:ascii="Arial" w:cs="Arial" w:hAnsi="Arial"/>
          <w:szCs w:val="24"/>
        </w:rPr>
      </w:pPr>
      <w:r>
        <w:rPr>
          <w:rFonts w:ascii="Arial" w:cs="Arial" w:hAnsi="Arial"/>
          <w:szCs w:val="24"/>
        </w:rPr>
        <w:t xml:space="preserve">franquear aos empregados da Concessionária, desde que devidamente identificados, o acesso aos medidores de consumo de Água ou de esgotos, e outros equipamentos destinados ao mesmo fim, conservando-os limpos, em locais acessíveis, seguros e asseados; e  </w:t>
      </w:r>
    </w:p>
    <w:p>
      <w:pPr>
        <w:pStyle w:val="style0"/>
        <w:numPr>
          <w:ilvl w:val="0"/>
          <w:numId w:val="5"/>
        </w:numPr>
        <w:ind w:hanging="360" w:left="391" w:right="-26"/>
        <w:rPr>
          <w:rFonts w:ascii="Arial" w:cs="Arial" w:hAnsi="Arial"/>
          <w:szCs w:val="24"/>
        </w:rPr>
      </w:pPr>
      <w:r>
        <w:rPr>
          <w:rFonts w:ascii="Arial" w:cs="Arial" w:hAnsi="Arial"/>
          <w:szCs w:val="24"/>
        </w:rPr>
        <w:t>observar e cumprir as normas emitidas pelas autoridades competentes.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21.3. A falta de pagamento dos valores devidos pelos Usuários, na data de seu vencimento, acarretará a incidência de encargos de mora e demais sanções cabíveis, inclusive a interrupção dos serviços, na forma prevista nos atos de regulação e no regulamento da prestação dos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22 - Direitos e Obrigações do Poder Concedente</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22.1. Sem prejuízo do cumprimento dos encargos estabelecidos neste Contrato e anexos, e em conformidade com a legislação aplicável a Concessão, incumbe ao Poder Concedente, através da sua Administração Direta ou Indireta: </w:t>
      </w:r>
    </w:p>
    <w:p>
      <w:pPr>
        <w:pStyle w:val="style0"/>
        <w:numPr>
          <w:ilvl w:val="0"/>
          <w:numId w:val="6"/>
        </w:numPr>
        <w:ind w:hanging="360" w:left="273" w:right="-26"/>
        <w:rPr>
          <w:rFonts w:ascii="Arial" w:cs="Arial" w:hAnsi="Arial"/>
          <w:szCs w:val="24"/>
        </w:rPr>
      </w:pPr>
      <w:r>
        <w:rPr>
          <w:rFonts w:ascii="Arial" w:cs="Arial" w:hAnsi="Arial"/>
          <w:szCs w:val="24"/>
        </w:rPr>
        <w:t xml:space="preserve">cumprir e fazer cumprir as disposições legais, regulamentares e contratuais pertinentes à Concessão, zelando pela boa qualidade dos serviços públicos de abastecimento de água e de esgotamento sanitário; </w:t>
      </w:r>
    </w:p>
    <w:p>
      <w:pPr>
        <w:pStyle w:val="style0"/>
        <w:numPr>
          <w:ilvl w:val="0"/>
          <w:numId w:val="6"/>
        </w:numPr>
        <w:ind w:hanging="360" w:left="273" w:right="-26"/>
        <w:rPr>
          <w:rFonts w:ascii="Arial" w:cs="Arial" w:hAnsi="Arial"/>
          <w:szCs w:val="24"/>
        </w:rPr>
      </w:pPr>
      <w:r>
        <w:rPr>
          <w:rFonts w:ascii="Arial" w:cs="Arial" w:hAnsi="Arial"/>
          <w:szCs w:val="24"/>
        </w:rPr>
        <w:t xml:space="preserve">declarar de utilidade pública, em caráter de urgência e promover desapropriação ou instituição de servidão administrativa, estabelecer limitações administrativas e autorizar ocupações temporárias de todos os bens imóveis particulares, com ou sem a anuência de seus proprietários, para assegurar a realização e a conservação de serviços e obras vinculados a concessão, observado o disposto no contrato, e arcando com os respectivos custos; </w:t>
      </w:r>
    </w:p>
    <w:p>
      <w:pPr>
        <w:pStyle w:val="style0"/>
        <w:numPr>
          <w:ilvl w:val="0"/>
          <w:numId w:val="6"/>
        </w:numPr>
        <w:ind w:hanging="360" w:left="273" w:right="-26"/>
        <w:rPr>
          <w:rFonts w:ascii="Arial" w:cs="Arial" w:hAnsi="Arial"/>
          <w:szCs w:val="24"/>
        </w:rPr>
      </w:pPr>
      <w:r>
        <w:rPr>
          <w:rFonts w:ascii="Arial" w:cs="Arial" w:hAnsi="Arial"/>
          <w:szCs w:val="24"/>
        </w:rPr>
        <w:t xml:space="preserve">impor aos Usuários, com o apoio da Concessionária, a obrigação de se conectar aos sistemas de abastecimento de água e esgotamento sanitário, assim que for tecnicamente possível, e não permitir a existência de sistema próprio alheio aos serviços públicos disponíveis; </w:t>
      </w:r>
    </w:p>
    <w:p>
      <w:pPr>
        <w:pStyle w:val="style0"/>
        <w:numPr>
          <w:ilvl w:val="0"/>
          <w:numId w:val="6"/>
        </w:numPr>
        <w:ind w:hanging="360" w:left="273" w:right="-26"/>
        <w:rPr>
          <w:rFonts w:ascii="Arial" w:cs="Arial" w:hAnsi="Arial"/>
          <w:szCs w:val="24"/>
        </w:rPr>
      </w:pPr>
      <w:r>
        <w:rPr>
          <w:rFonts w:ascii="Arial" w:cs="Arial" w:hAnsi="Arial"/>
          <w:szCs w:val="24"/>
        </w:rPr>
        <w:t xml:space="preserve">intervir na Concessão nos casos e nas condições previstos no Edital, no Contrato de </w:t>
      </w:r>
    </w:p>
    <w:p>
      <w:pPr>
        <w:pStyle w:val="style0"/>
        <w:ind w:hanging="0" w:left="0" w:right="-26"/>
        <w:rPr>
          <w:rFonts w:ascii="Arial" w:cs="Arial" w:hAnsi="Arial"/>
          <w:szCs w:val="24"/>
        </w:rPr>
      </w:pPr>
      <w:r>
        <w:rPr>
          <w:rFonts w:ascii="Arial" w:cs="Arial" w:hAnsi="Arial"/>
          <w:szCs w:val="24"/>
        </w:rPr>
        <w:t xml:space="preserve">Concessão e na legislação vigente; </w:t>
      </w:r>
    </w:p>
    <w:p>
      <w:pPr>
        <w:pStyle w:val="style0"/>
        <w:numPr>
          <w:ilvl w:val="0"/>
          <w:numId w:val="6"/>
        </w:numPr>
        <w:ind w:hanging="360" w:left="273" w:right="-26"/>
        <w:rPr>
          <w:rFonts w:ascii="Arial" w:cs="Arial" w:hAnsi="Arial"/>
          <w:szCs w:val="24"/>
        </w:rPr>
      </w:pPr>
      <w:r>
        <w:rPr>
          <w:rFonts w:ascii="Arial" w:cs="Arial" w:hAnsi="Arial"/>
          <w:szCs w:val="24"/>
        </w:rPr>
        <w:t xml:space="preserve">extinguir a Concessão nos casos previstos em lei e no Contrato de Concessão; </w:t>
      </w:r>
    </w:p>
    <w:p>
      <w:pPr>
        <w:pStyle w:val="style0"/>
        <w:numPr>
          <w:ilvl w:val="0"/>
          <w:numId w:val="6"/>
        </w:numPr>
        <w:ind w:hanging="360" w:left="273" w:right="-26"/>
        <w:rPr>
          <w:rFonts w:ascii="Arial" w:cs="Arial" w:hAnsi="Arial"/>
          <w:szCs w:val="24"/>
        </w:rPr>
      </w:pPr>
      <w:r>
        <w:rPr>
          <w:rFonts w:ascii="Arial" w:cs="Arial" w:hAnsi="Arial"/>
          <w:szCs w:val="24"/>
        </w:rPr>
        <w:t xml:space="preserve">apoiar a Concessionária na obtenção das respectivas licenças de instalação e de operação; </w:t>
      </w:r>
    </w:p>
    <w:p>
      <w:pPr>
        <w:pStyle w:val="style0"/>
        <w:numPr>
          <w:ilvl w:val="0"/>
          <w:numId w:val="6"/>
        </w:numPr>
        <w:ind w:hanging="360" w:left="273" w:right="-26"/>
        <w:rPr>
          <w:rFonts w:ascii="Arial" w:cs="Arial" w:hAnsi="Arial"/>
          <w:szCs w:val="24"/>
        </w:rPr>
      </w:pPr>
      <w:r>
        <w:rPr>
          <w:rFonts w:ascii="Arial" w:cs="Arial" w:hAnsi="Arial"/>
          <w:szCs w:val="24"/>
        </w:rPr>
        <w:t xml:space="preserve">estimular o aumento da qualidade, produtividade, preservação do meio ambiente e conservação; </w:t>
      </w:r>
    </w:p>
    <w:p>
      <w:pPr>
        <w:pStyle w:val="style0"/>
        <w:numPr>
          <w:ilvl w:val="0"/>
          <w:numId w:val="6"/>
        </w:numPr>
        <w:ind w:hanging="360" w:left="273" w:right="-26"/>
        <w:rPr>
          <w:rFonts w:ascii="Arial" w:cs="Arial" w:hAnsi="Arial"/>
          <w:szCs w:val="24"/>
        </w:rPr>
      </w:pPr>
      <w:r>
        <w:rPr>
          <w:rFonts w:ascii="Arial" w:cs="Arial" w:hAnsi="Arial"/>
          <w:szCs w:val="24"/>
        </w:rPr>
        <w:t xml:space="preserve">assegurar a Concessionária a plena utilização dos bens afetos a Concessão em face de qualquer instância do Poder Público, de quaisquer de suas esferas; </w:t>
      </w:r>
    </w:p>
    <w:p>
      <w:pPr>
        <w:pStyle w:val="style0"/>
        <w:numPr>
          <w:ilvl w:val="0"/>
          <w:numId w:val="6"/>
        </w:numPr>
        <w:ind w:hanging="360" w:left="273" w:right="-26"/>
        <w:rPr>
          <w:rFonts w:ascii="Arial" w:cs="Arial" w:hAnsi="Arial"/>
          <w:szCs w:val="24"/>
        </w:rPr>
      </w:pPr>
      <w:r>
        <w:rPr>
          <w:rFonts w:ascii="Arial" w:cs="Arial" w:hAnsi="Arial"/>
          <w:szCs w:val="24"/>
        </w:rPr>
        <w:t xml:space="preserve">pagar a Concessionária as indenizações previstas na legislação aplicável e no </w:t>
      </w:r>
    </w:p>
    <w:p>
      <w:pPr>
        <w:pStyle w:val="style0"/>
        <w:ind w:hanging="0" w:left="0" w:right="-26"/>
        <w:rPr>
          <w:rFonts w:ascii="Arial" w:cs="Arial" w:hAnsi="Arial"/>
          <w:szCs w:val="24"/>
        </w:rPr>
      </w:pPr>
      <w:r>
        <w:rPr>
          <w:rFonts w:ascii="Arial" w:cs="Arial" w:hAnsi="Arial"/>
          <w:szCs w:val="24"/>
        </w:rPr>
        <w:t xml:space="preserve">Contrato de Concessão, quando devidas, decorrentes da extinção da Concessão; </w:t>
      </w:r>
    </w:p>
    <w:p>
      <w:pPr>
        <w:pStyle w:val="style0"/>
        <w:numPr>
          <w:ilvl w:val="0"/>
          <w:numId w:val="6"/>
        </w:numPr>
        <w:ind w:hanging="360" w:left="273" w:right="-26"/>
        <w:rPr>
          <w:rFonts w:ascii="Arial" w:cs="Arial" w:hAnsi="Arial"/>
          <w:szCs w:val="24"/>
        </w:rPr>
      </w:pPr>
      <w:r>
        <w:rPr>
          <w:rFonts w:ascii="Arial" w:cs="Arial" w:hAnsi="Arial"/>
          <w:szCs w:val="24"/>
        </w:rPr>
        <w:t xml:space="preserve">cumprir e fazer cumprir as disposições legais, regulamentares e contratuais pertinentes a concessão, zelando pela boa qualidade da prestação dos serviços públicos de abastecimento de água e de esgotamento sanitário; </w:t>
      </w:r>
    </w:p>
    <w:p>
      <w:pPr>
        <w:pStyle w:val="style0"/>
        <w:numPr>
          <w:ilvl w:val="0"/>
          <w:numId w:val="6"/>
        </w:numPr>
        <w:ind w:hanging="360" w:left="273" w:right="-26"/>
        <w:rPr>
          <w:rFonts w:ascii="Arial" w:cs="Arial" w:hAnsi="Arial"/>
          <w:szCs w:val="24"/>
        </w:rPr>
      </w:pPr>
      <w:r>
        <w:rPr>
          <w:rFonts w:ascii="Arial" w:cs="Arial" w:hAnsi="Arial"/>
          <w:szCs w:val="24"/>
          <w:shd w:fill="FFFF00" w:val="clear"/>
        </w:rPr>
        <w:t>expedir as normas necessárias a regulamentação e fiscalização da prestação, pela Concessionária, dos serviços públicos de abastecimento de água e de</w:t>
      </w:r>
      <w:r>
        <w:rPr>
          <w:rFonts w:ascii="Arial" w:cs="Arial" w:hAnsi="Arial"/>
          <w:szCs w:val="24"/>
        </w:rPr>
        <w:t xml:space="preserve"> esgotamento sanitário, sem prejuízo daquelas inerentes a Agencia de Regulação; e l) aplicar as penalidades legais, regulamentares e contratuais.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23 - Direitos e Obrigações da Agência de Regulação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shd w:fill="FFFF00" w:val="clear"/>
        </w:rPr>
      </w:pPr>
      <w:r>
        <w:rPr>
          <w:rFonts w:ascii="Arial" w:cs="Arial" w:hAnsi="Arial"/>
          <w:szCs w:val="24"/>
          <w:shd w:fill="FFFF00" w:val="clear"/>
        </w:rPr>
        <w:t xml:space="preserve">23.1. A regulação dos serviços de abastecimento de água e esgotamento sanitário é de responsabilidade da Agência de Regulação, nos termos da legislação municipal.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23.2. Na qualidade de entidade reguladora da prestação dos serviços públicos de abastecimento de água e de esgotamento sanitário, sem prejuízo das demais atribuições conferidas em lei, incumbe a Agencia Reguladora: </w:t>
      </w:r>
    </w:p>
    <w:p>
      <w:pPr>
        <w:pStyle w:val="style0"/>
        <w:numPr>
          <w:ilvl w:val="0"/>
          <w:numId w:val="7"/>
        </w:numPr>
        <w:ind w:hanging="360" w:left="10" w:right="-26"/>
        <w:rPr>
          <w:rFonts w:ascii="Arial" w:cs="Arial" w:hAnsi="Arial"/>
          <w:szCs w:val="24"/>
        </w:rPr>
      </w:pPr>
      <w:r>
        <w:rPr>
          <w:rFonts w:ascii="Arial" w:cs="Arial" w:hAnsi="Arial"/>
          <w:szCs w:val="24"/>
        </w:rPr>
        <w:t xml:space="preserve">cumprir e fazer cumprir as disposições legais, regulamentares e contratuais pertinentes A Concessão, zelando pela boa qualidade dos serviços públicos de abastecimento de água e de esgotamento sanitário; </w:t>
      </w:r>
    </w:p>
    <w:p>
      <w:pPr>
        <w:pStyle w:val="style0"/>
        <w:numPr>
          <w:ilvl w:val="0"/>
          <w:numId w:val="7"/>
        </w:numPr>
        <w:ind w:hanging="360" w:left="10" w:right="-26"/>
        <w:rPr>
          <w:rFonts w:ascii="Arial" w:cs="Arial" w:hAnsi="Arial"/>
          <w:szCs w:val="24"/>
        </w:rPr>
      </w:pPr>
      <w:r>
        <w:rPr>
          <w:rFonts w:ascii="Arial" w:cs="Arial" w:hAnsi="Arial"/>
          <w:szCs w:val="24"/>
        </w:rPr>
        <w:t xml:space="preserve">expedir as normas de dimensão técnica, econômica e social necessárias à regulamentado e fiscalizado da prestação, pela Concessionária, dos serviços públicos de abastecimento de água e de esgotamento sanitário; </w:t>
      </w:r>
    </w:p>
    <w:p>
      <w:pPr>
        <w:pStyle w:val="style0"/>
        <w:numPr>
          <w:ilvl w:val="0"/>
          <w:numId w:val="7"/>
        </w:numPr>
        <w:ind w:hanging="360" w:left="10" w:right="-26"/>
        <w:rPr>
          <w:rFonts w:ascii="Arial" w:cs="Arial" w:hAnsi="Arial"/>
          <w:szCs w:val="24"/>
        </w:rPr>
      </w:pPr>
      <w:r>
        <w:rPr>
          <w:rFonts w:ascii="Arial" w:cs="Arial" w:hAnsi="Arial"/>
          <w:szCs w:val="24"/>
        </w:rPr>
        <w:t xml:space="preserve">aplicar as penalidades legais, regulamentares e contratuais, observados o contraditório e a ampla defesa; </w:t>
      </w:r>
    </w:p>
    <w:p>
      <w:pPr>
        <w:pStyle w:val="style0"/>
        <w:numPr>
          <w:ilvl w:val="0"/>
          <w:numId w:val="7"/>
        </w:numPr>
        <w:ind w:hanging="360" w:left="10" w:right="-26"/>
        <w:rPr>
          <w:rFonts w:ascii="Arial" w:cs="Arial" w:hAnsi="Arial"/>
          <w:szCs w:val="24"/>
        </w:rPr>
      </w:pPr>
      <w:r>
        <w:rPr>
          <w:rFonts w:ascii="Arial" w:cs="Arial" w:hAnsi="Arial"/>
          <w:szCs w:val="24"/>
        </w:rPr>
        <w:t xml:space="preserve">prevenir e reprimir o abuso do poder econômico, ressalvada a competência dos órgãos integrantes do sistema nacional de defesa da concorrência; </w:t>
      </w:r>
    </w:p>
    <w:p>
      <w:pPr>
        <w:pStyle w:val="style0"/>
        <w:numPr>
          <w:ilvl w:val="0"/>
          <w:numId w:val="7"/>
        </w:numPr>
        <w:ind w:hanging="360" w:left="10" w:right="-26"/>
        <w:rPr>
          <w:rFonts w:ascii="Arial" w:cs="Arial" w:hAnsi="Arial"/>
          <w:szCs w:val="24"/>
        </w:rPr>
      </w:pPr>
      <w:r>
        <w:rPr>
          <w:rFonts w:ascii="Arial" w:cs="Arial" w:hAnsi="Arial"/>
          <w:szCs w:val="24"/>
        </w:rPr>
        <w:t xml:space="preserve">analisar o reajuste e a revisão tarifária, assegurando tanto o equilíbrio econômico e financeiro do Contrato como a modicidade tarifária, mediante mecanismos que induzam a eficiência e eficácia dos serviços e que permitam a apropriação social dos ganhos de produtividade, nos termos estabelecidos neste Contrato; </w:t>
      </w:r>
    </w:p>
    <w:p>
      <w:pPr>
        <w:pStyle w:val="style0"/>
        <w:ind w:hanging="0" w:left="0" w:right="-26"/>
        <w:rPr>
          <w:rFonts w:ascii="Arial" w:cs="Arial" w:hAnsi="Arial"/>
          <w:szCs w:val="24"/>
        </w:rPr>
      </w:pPr>
      <w:r>
        <w:rPr>
          <w:rFonts w:ascii="Arial" w:cs="Arial" w:hAnsi="Arial"/>
          <w:szCs w:val="24"/>
        </w:rPr>
        <w:t xml:space="preserve">f) assegurar a Concessionária a plena utilização dos bens afetos a concessão em face de qualquer instância do Poder Público, de quaisquer de suas esferas.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23.3. A Concessionária deverá fornecer à entidade reguladora todos os dados e informadas necessários para o desempenho de suas atividades, na forma das normas legais, regulamentares e contratuais.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23.3.1 Incluem-se entre os dados e informações a que se refere o item 23.3 aquelas produzidas por empresas ou profissionais contratados para executar serviços ou fornecer materiais e equipamentos específicos.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23.3.2. Compreendem-se nas atividades da Agência Reguladora a interpretação e a fixado de critérios para a fiel execução deste Contrato, dos serviços concedidos e para a correta administração de eventuais subsídios.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23.3.3. A Agencia Reguladora poderá instituir plano de contas e mecanismos de informação, auditoria e certificação A Concessionária, sem prejuízo das demais atribuiríeis elencadas pelo artigo 23 da Lei Federal nº 11.445/2007.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24 - Direitos e Obrigações da Concessionária</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24.1. Sem prejuízo do cumprimento dos encargos estabelecidos no Edital, no Contrato de Concessão e, em conformidade com a legislação aplicável à espécie, incumbe à Concessionária: </w:t>
      </w:r>
    </w:p>
    <w:p>
      <w:pPr>
        <w:pStyle w:val="style0"/>
        <w:numPr>
          <w:ilvl w:val="0"/>
          <w:numId w:val="8"/>
        </w:numPr>
        <w:ind w:hanging="360" w:left="327" w:right="-26"/>
        <w:rPr>
          <w:rFonts w:ascii="Arial" w:cs="Arial" w:hAnsi="Arial"/>
          <w:szCs w:val="24"/>
        </w:rPr>
      </w:pPr>
      <w:r>
        <w:rPr>
          <w:rFonts w:ascii="Arial" w:cs="Arial" w:hAnsi="Arial"/>
          <w:szCs w:val="24"/>
        </w:rPr>
        <w:t xml:space="preserve">prestar os serviços públicos de abastecimento de Água e de esgotamento sanitário de forma adequada, nos termos previstos no Edital, neste Contrato de Concessão, no Regulamento da Prestação do Serviço e nas demais disposições técnicas aplicáveis, Inclusive prestando contas da gesto do serviço e publicando, anualmente, as suas demonstrações financeiras; </w:t>
      </w:r>
    </w:p>
    <w:p>
      <w:pPr>
        <w:pStyle w:val="style0"/>
        <w:numPr>
          <w:ilvl w:val="0"/>
          <w:numId w:val="8"/>
        </w:numPr>
        <w:ind w:hanging="360" w:left="327" w:right="-26"/>
        <w:rPr>
          <w:rFonts w:ascii="Arial" w:cs="Arial" w:hAnsi="Arial"/>
          <w:szCs w:val="24"/>
        </w:rPr>
      </w:pPr>
      <w:r>
        <w:rPr>
          <w:rFonts w:ascii="Arial" w:cs="Arial" w:hAnsi="Arial"/>
          <w:szCs w:val="24"/>
        </w:rPr>
        <w:t xml:space="preserve">executar reparos e obras que tenham por objetivo garantir a adequada prestação e universalização dos serviços públicos de abastecimento de água e de esgotamento sanitário, dentre outras que se fizerem necessárias; </w:t>
      </w:r>
    </w:p>
    <w:p>
      <w:pPr>
        <w:pStyle w:val="style0"/>
        <w:numPr>
          <w:ilvl w:val="0"/>
          <w:numId w:val="8"/>
        </w:numPr>
        <w:ind w:hanging="360" w:left="327" w:right="-26"/>
        <w:rPr>
          <w:rFonts w:ascii="Arial" w:cs="Arial" w:hAnsi="Arial"/>
          <w:szCs w:val="24"/>
        </w:rPr>
      </w:pPr>
      <w:r>
        <w:rPr>
          <w:rFonts w:ascii="Arial" w:cs="Arial" w:hAnsi="Arial"/>
          <w:szCs w:val="24"/>
        </w:rPr>
        <w:t xml:space="preserve">estimular a formação de associações de Usuários para defesa de interesses relativos ao serviço; </w:t>
      </w:r>
    </w:p>
    <w:p>
      <w:pPr>
        <w:pStyle w:val="style0"/>
        <w:numPr>
          <w:ilvl w:val="0"/>
          <w:numId w:val="8"/>
        </w:numPr>
        <w:ind w:hanging="360" w:left="327" w:right="-26"/>
        <w:rPr>
          <w:rFonts w:ascii="Arial" w:cs="Arial" w:hAnsi="Arial"/>
          <w:szCs w:val="24"/>
        </w:rPr>
      </w:pPr>
      <w:r>
        <w:rPr>
          <w:rFonts w:ascii="Arial" w:cs="Arial" w:hAnsi="Arial"/>
          <w:szCs w:val="24"/>
        </w:rPr>
        <w:t xml:space="preserve">receber, apurar e solucionar queixas e reclamações dos usuários, que serão cientificados das providencias tomadas, nos termos e prazos estabelecidos pelas normas expedidas pela Agência de Regulação; </w:t>
      </w:r>
    </w:p>
    <w:p>
      <w:pPr>
        <w:pStyle w:val="style0"/>
        <w:numPr>
          <w:ilvl w:val="0"/>
          <w:numId w:val="8"/>
        </w:numPr>
        <w:ind w:hanging="360" w:left="327" w:right="-26"/>
        <w:rPr>
          <w:rFonts w:ascii="Arial" w:cs="Arial" w:hAnsi="Arial"/>
          <w:szCs w:val="24"/>
          <w:shd w:fill="FFFF00" w:val="clear"/>
        </w:rPr>
      </w:pPr>
      <w:r>
        <w:rPr>
          <w:rFonts w:ascii="Arial" w:cs="Arial" w:hAnsi="Arial"/>
          <w:szCs w:val="24"/>
          <w:shd w:fill="FFFF00" w:val="clear"/>
        </w:rPr>
        <w:t xml:space="preserve">garantir aos Usuários o acesso e publicidade das informações sobre o serviço prestado e a qualidade da sua prestação, bem como sobre os estudos, decisões e instrumentos de regulação e fiscalização e, ainda, acerca de seus direitos e deveres; </w:t>
      </w:r>
    </w:p>
    <w:p>
      <w:pPr>
        <w:pStyle w:val="style0"/>
        <w:numPr>
          <w:ilvl w:val="0"/>
          <w:numId w:val="8"/>
        </w:numPr>
        <w:ind w:hanging="360" w:left="327" w:right="-26"/>
        <w:rPr>
          <w:rFonts w:ascii="Arial" w:cs="Arial" w:hAnsi="Arial"/>
          <w:szCs w:val="24"/>
        </w:rPr>
      </w:pPr>
      <w:r>
        <w:rPr>
          <w:rFonts w:ascii="Arial" w:cs="Arial" w:hAnsi="Arial"/>
          <w:szCs w:val="24"/>
        </w:rPr>
        <w:t xml:space="preserve">fornecer ao Poder Concedente, na forma e prazos fixados em instrumento de regulação pertinente, toda e qualquer informação disponível relativa ao serviço, bem como qualquer modificação ou interferência causada por si ou por terceiros; </w:t>
      </w:r>
    </w:p>
    <w:p>
      <w:pPr>
        <w:pStyle w:val="style0"/>
        <w:numPr>
          <w:ilvl w:val="0"/>
          <w:numId w:val="8"/>
        </w:numPr>
        <w:ind w:hanging="360" w:left="327" w:right="-26"/>
        <w:rPr>
          <w:rFonts w:ascii="Arial" w:cs="Arial" w:hAnsi="Arial"/>
          <w:szCs w:val="24"/>
        </w:rPr>
      </w:pPr>
      <w:r>
        <w:rPr>
          <w:rFonts w:ascii="Arial" w:cs="Arial" w:hAnsi="Arial"/>
          <w:szCs w:val="24"/>
        </w:rPr>
        <w:t xml:space="preserve">informar os Usuários a respeito das interrupções programadas dos serviços públicos de abastecimento de água e de esgotamento sanitário e seu restabelecimento, obedecendo as condições e prazos que forem fixados no Regulamento dos Serviços Públicos de Abastecimento de Água e Esgotamento Sanitário (Anexo IX do Edital) e nas demais normas técnicas expedidas pela municipalidade; </w:t>
      </w:r>
    </w:p>
    <w:p>
      <w:pPr>
        <w:pStyle w:val="style0"/>
        <w:numPr>
          <w:ilvl w:val="0"/>
          <w:numId w:val="8"/>
        </w:numPr>
        <w:ind w:hanging="360" w:left="327" w:right="-26"/>
        <w:rPr>
          <w:rFonts w:ascii="Arial" w:cs="Arial" w:hAnsi="Arial"/>
          <w:szCs w:val="24"/>
        </w:rPr>
      </w:pPr>
      <w:r>
        <w:rPr>
          <w:rFonts w:ascii="Arial" w:cs="Arial" w:hAnsi="Arial"/>
          <w:szCs w:val="24"/>
        </w:rPr>
        <w:t xml:space="preserve">pagar a taxa de regulação cobrada pela Agência de Regulação, bem como acatar as recomendações da entidade de regulação e de outros órgãos e autoridades competentes, observadas as regras do Edital e do presente Contrato; </w:t>
      </w:r>
    </w:p>
    <w:p>
      <w:pPr>
        <w:pStyle w:val="style0"/>
        <w:numPr>
          <w:ilvl w:val="0"/>
          <w:numId w:val="8"/>
        </w:numPr>
        <w:ind w:hanging="360" w:left="327" w:right="-26"/>
        <w:rPr>
          <w:rFonts w:ascii="Arial" w:cs="Arial" w:hAnsi="Arial"/>
          <w:szCs w:val="24"/>
        </w:rPr>
      </w:pPr>
      <w:r>
        <w:rPr>
          <w:rFonts w:ascii="Arial" w:cs="Arial" w:hAnsi="Arial"/>
          <w:szCs w:val="24"/>
        </w:rPr>
        <w:t xml:space="preserve">manter atualizado o inventário e o registro dos bens afetos e os não afetos concessão, inclusos cadastros técnicos de redes e de equipamentos, bem como zelar pelos mesmos e promover a contratação dos respectivos seguros; </w:t>
      </w:r>
    </w:p>
    <w:p>
      <w:pPr>
        <w:pStyle w:val="style0"/>
        <w:numPr>
          <w:ilvl w:val="0"/>
          <w:numId w:val="8"/>
        </w:numPr>
        <w:ind w:hanging="360" w:left="327" w:right="-26"/>
        <w:rPr>
          <w:rFonts w:ascii="Arial" w:cs="Arial" w:hAnsi="Arial"/>
          <w:szCs w:val="24"/>
        </w:rPr>
      </w:pPr>
      <w:r>
        <w:rPr>
          <w:rFonts w:ascii="Arial" w:cs="Arial" w:hAnsi="Arial"/>
          <w:szCs w:val="24"/>
        </w:rPr>
        <w:t xml:space="preserve">manter a disposição do Poder Concedente e dos demais órgãos de fiscalização os documentos, projetos, registros contábeis e demais informações técnicas, operacionais e financeiras relativas à concessão, incluídos os cadastros técnicos de redes, de equipamentos e os manuais de procedimentos de operação e manutenção; </w:t>
      </w:r>
    </w:p>
    <w:p>
      <w:pPr>
        <w:pStyle w:val="style0"/>
        <w:numPr>
          <w:ilvl w:val="0"/>
          <w:numId w:val="8"/>
        </w:numPr>
        <w:ind w:hanging="360" w:left="327" w:right="-26"/>
        <w:rPr>
          <w:rFonts w:ascii="Arial" w:cs="Arial" w:hAnsi="Arial"/>
          <w:szCs w:val="24"/>
        </w:rPr>
      </w:pPr>
      <w:r>
        <w:rPr>
          <w:rFonts w:ascii="Arial" w:cs="Arial" w:hAnsi="Arial"/>
          <w:szCs w:val="24"/>
        </w:rPr>
        <w:t xml:space="preserve">permitir ao Poder Concedente e aos demais órgãos de fiscalização o seu livre acesso, em qualquer época, as obras, aos equipamentos e as instalações vinculadas a concessão; </w:t>
      </w:r>
    </w:p>
    <w:p>
      <w:pPr>
        <w:pStyle w:val="style0"/>
        <w:numPr>
          <w:ilvl w:val="0"/>
          <w:numId w:val="8"/>
        </w:numPr>
        <w:ind w:hanging="360" w:left="327" w:right="-26"/>
        <w:rPr>
          <w:rFonts w:ascii="Arial" w:cs="Arial" w:hAnsi="Arial"/>
          <w:szCs w:val="24"/>
        </w:rPr>
      </w:pPr>
      <w:r>
        <w:rPr>
          <w:rFonts w:ascii="Arial" w:cs="Arial" w:hAnsi="Arial"/>
          <w:szCs w:val="24"/>
        </w:rPr>
        <w:t xml:space="preserve">captar, aplicar e gerir os recursos financeiros necessários a prestação dos serviços públicos de abastecimento de água e de esgotamento sanitário; </w:t>
      </w:r>
    </w:p>
    <w:p>
      <w:pPr>
        <w:pStyle w:val="style0"/>
        <w:numPr>
          <w:ilvl w:val="0"/>
          <w:numId w:val="8"/>
        </w:numPr>
        <w:ind w:hanging="360" w:left="327" w:right="-26"/>
        <w:rPr>
          <w:rFonts w:ascii="Arial" w:cs="Arial" w:hAnsi="Arial"/>
          <w:szCs w:val="24"/>
        </w:rPr>
      </w:pPr>
      <w:r>
        <w:rPr>
          <w:rFonts w:ascii="Arial" w:cs="Arial" w:hAnsi="Arial"/>
          <w:szCs w:val="24"/>
        </w:rPr>
        <w:t xml:space="preserve">manter sistemas de monitoramento dos efluentes lançados nos corpos d'água; </w:t>
      </w:r>
    </w:p>
    <w:p>
      <w:pPr>
        <w:pStyle w:val="style0"/>
        <w:numPr>
          <w:ilvl w:val="0"/>
          <w:numId w:val="8"/>
        </w:numPr>
        <w:ind w:hanging="360" w:left="327" w:right="-26"/>
        <w:rPr>
          <w:rFonts w:ascii="Arial" w:cs="Arial" w:hAnsi="Arial"/>
          <w:szCs w:val="24"/>
        </w:rPr>
      </w:pPr>
      <w:r>
        <w:rPr>
          <w:rFonts w:ascii="Arial" w:cs="Arial" w:hAnsi="Arial"/>
          <w:szCs w:val="24"/>
        </w:rPr>
        <w:t xml:space="preserve">sempre que for possível e/ou necessário, informar os usuários sobre as condições imprescindíveis para melhor fruição dos serviços públicos de abastecimento de água e de esgotamento sanitário, inclusive no que se refere a questões de saúde e uso de equipamentos; </w:t>
      </w:r>
    </w:p>
    <w:p>
      <w:pPr>
        <w:pStyle w:val="style0"/>
        <w:numPr>
          <w:ilvl w:val="0"/>
          <w:numId w:val="8"/>
        </w:numPr>
        <w:ind w:hanging="360" w:left="327" w:right="-26"/>
        <w:rPr>
          <w:rFonts w:ascii="Arial" w:cs="Arial" w:hAnsi="Arial"/>
          <w:szCs w:val="24"/>
        </w:rPr>
      </w:pPr>
      <w:r>
        <w:rPr>
          <w:rFonts w:ascii="Arial" w:cs="Arial" w:hAnsi="Arial"/>
          <w:szCs w:val="24"/>
        </w:rPr>
        <w:t xml:space="preserve">comunicar ao Poder Concedente e aos órgãos ambientais competentes a respeito de ação ou omissão que venha a ser de seu conhecimento, que provoque contaminação dos recursos hídricos ou que prejudique a prestação dos serviços públicos de abastecimento de água e de esgotamento sanitário, ou ações a ele vinculadas, para que tais autoridades diligenciem as providências competentes; </w:t>
      </w:r>
    </w:p>
    <w:p>
      <w:pPr>
        <w:pStyle w:val="style0"/>
        <w:numPr>
          <w:ilvl w:val="0"/>
          <w:numId w:val="8"/>
        </w:numPr>
        <w:ind w:hanging="360" w:left="327" w:right="-26"/>
        <w:rPr>
          <w:rFonts w:ascii="Arial" w:cs="Arial" w:hAnsi="Arial"/>
          <w:szCs w:val="24"/>
        </w:rPr>
      </w:pPr>
      <w:r>
        <w:rPr>
          <w:rFonts w:ascii="Arial" w:cs="Arial" w:hAnsi="Arial"/>
          <w:szCs w:val="24"/>
        </w:rPr>
        <w:t xml:space="preserve">colaborar com as autoridades públicas, nos casos de emergência ou calamidade, que envolverem os serviços públicos de abastecimento de água e de esgotamento sanitário; </w:t>
      </w:r>
    </w:p>
    <w:p>
      <w:pPr>
        <w:pStyle w:val="style0"/>
        <w:numPr>
          <w:ilvl w:val="0"/>
          <w:numId w:val="8"/>
        </w:numPr>
        <w:ind w:hanging="360" w:left="327" w:right="-26"/>
        <w:rPr>
          <w:rFonts w:ascii="Arial" w:cs="Arial" w:hAnsi="Arial"/>
          <w:szCs w:val="24"/>
        </w:rPr>
      </w:pPr>
      <w:r>
        <w:rPr>
          <w:rFonts w:ascii="Arial" w:cs="Arial" w:hAnsi="Arial"/>
          <w:szCs w:val="24"/>
        </w:rPr>
        <w:t xml:space="preserve">nos termos do disposto neste Contrato e anexos, efetuar a medição do consumo de água e, com base no consumo apurado, emitir as faturas, discriminando o valor referente ao pagamento devido pela prestação dos serviços públicos de abastecimento de água e de esgotamento sanitário; </w:t>
      </w:r>
    </w:p>
    <w:p>
      <w:pPr>
        <w:pStyle w:val="style0"/>
        <w:numPr>
          <w:ilvl w:val="0"/>
          <w:numId w:val="8"/>
        </w:numPr>
        <w:ind w:hanging="360" w:left="327" w:right="-26"/>
        <w:rPr>
          <w:rFonts w:ascii="Arial" w:cs="Arial" w:hAnsi="Arial"/>
          <w:szCs w:val="24"/>
        </w:rPr>
      </w:pPr>
      <w:r>
        <w:rPr>
          <w:rFonts w:ascii="Arial" w:cs="Arial" w:hAnsi="Arial"/>
          <w:szCs w:val="24"/>
        </w:rPr>
        <w:t xml:space="preserve">acordar com as entidades públicas competentes o uso comum do solo e do subsolo quando necessário para a prestação dos serviços públicos de abastecimento de água e de esgotamento sanitário e para a construção e exploração das obras necessárias; </w:t>
      </w:r>
    </w:p>
    <w:p>
      <w:pPr>
        <w:pStyle w:val="style0"/>
        <w:numPr>
          <w:ilvl w:val="0"/>
          <w:numId w:val="8"/>
        </w:numPr>
        <w:ind w:hanging="360" w:left="327" w:right="-26"/>
        <w:rPr>
          <w:rFonts w:ascii="Arial" w:cs="Arial" w:hAnsi="Arial"/>
          <w:szCs w:val="24"/>
        </w:rPr>
      </w:pPr>
      <w:r>
        <w:rPr>
          <w:rFonts w:ascii="Arial" w:cs="Arial" w:hAnsi="Arial"/>
          <w:szCs w:val="24"/>
        </w:rPr>
        <w:t xml:space="preserve">recomendar ao Poder Concedente a necessidade de declaração de utilidade ou necessidade pública, arguição de urgência e todos os atos administrativos necessários as desapropriações e instituição de servidões; </w:t>
      </w:r>
    </w:p>
    <w:p>
      <w:pPr>
        <w:pStyle w:val="style0"/>
        <w:numPr>
          <w:ilvl w:val="0"/>
          <w:numId w:val="8"/>
        </w:numPr>
        <w:ind w:hanging="360" w:left="327" w:right="-26"/>
        <w:rPr>
          <w:rFonts w:ascii="Arial" w:cs="Arial" w:hAnsi="Arial"/>
          <w:szCs w:val="24"/>
        </w:rPr>
      </w:pPr>
      <w:r>
        <w:rPr>
          <w:rFonts w:ascii="Arial" w:cs="Arial" w:hAnsi="Arial"/>
          <w:szCs w:val="24"/>
        </w:rPr>
        <w:t xml:space="preserve">em caso de inadimplemento do usuário no pagamento das faturas, efetuar a interrupção da prestação do serviço de abastecimento de água e de esgotamento sanitário e, uma vez adimplida a obrigação por parte do usuário, promover o restabelecimento da prestação dos serviços interrompidos, nos termos do Anexo IX do </w:t>
      </w:r>
    </w:p>
    <w:p>
      <w:pPr>
        <w:pStyle w:val="style0"/>
        <w:ind w:hanging="0" w:left="0" w:right="-26"/>
        <w:rPr>
          <w:rFonts w:ascii="Arial" w:cs="Arial" w:hAnsi="Arial"/>
          <w:szCs w:val="24"/>
        </w:rPr>
      </w:pPr>
      <w:r>
        <w:rPr>
          <w:rFonts w:ascii="Arial" w:cs="Arial" w:hAnsi="Arial"/>
          <w:szCs w:val="24"/>
        </w:rPr>
        <w:t xml:space="preserve">Edital; </w:t>
      </w:r>
    </w:p>
    <w:p>
      <w:pPr>
        <w:pStyle w:val="style0"/>
        <w:numPr>
          <w:ilvl w:val="0"/>
          <w:numId w:val="8"/>
        </w:numPr>
        <w:ind w:hanging="360" w:left="327" w:right="-26"/>
        <w:rPr>
          <w:rFonts w:ascii="Arial" w:cs="Arial" w:hAnsi="Arial"/>
          <w:szCs w:val="24"/>
        </w:rPr>
      </w:pPr>
      <w:r>
        <w:rPr>
          <w:rFonts w:ascii="Arial" w:cs="Arial" w:hAnsi="Arial"/>
          <w:szCs w:val="24"/>
        </w:rPr>
        <w:t xml:space="preserve">ter facultado acesso aos medidores de consumo de água ou de esgotos, e outros equipamentos envolvidos na prestação dos serviços públicos de abastecimento de água e de esgotamento sanitário; </w:t>
      </w:r>
    </w:p>
    <w:p>
      <w:pPr>
        <w:pStyle w:val="style0"/>
        <w:numPr>
          <w:ilvl w:val="0"/>
          <w:numId w:val="8"/>
        </w:numPr>
        <w:ind w:hanging="360" w:left="327" w:right="-26"/>
        <w:rPr>
          <w:rFonts w:ascii="Arial" w:cs="Arial" w:hAnsi="Arial"/>
          <w:szCs w:val="24"/>
        </w:rPr>
      </w:pPr>
      <w:r>
        <w:rPr>
          <w:rFonts w:ascii="Arial" w:cs="Arial" w:hAnsi="Arial"/>
          <w:szCs w:val="24"/>
        </w:rPr>
        <w:t xml:space="preserve">efetuar a cobrança de multa dos usuários, em caso de inadimplemento no pagamento das tarifas e outras formas de remuneração devidas; </w:t>
      </w:r>
    </w:p>
    <w:p>
      <w:pPr>
        <w:pStyle w:val="style0"/>
        <w:numPr>
          <w:ilvl w:val="0"/>
          <w:numId w:val="9"/>
        </w:numPr>
        <w:ind w:hanging="360" w:left="10" w:right="-26"/>
        <w:rPr>
          <w:rFonts w:ascii="Arial" w:cs="Arial" w:hAnsi="Arial"/>
          <w:szCs w:val="24"/>
        </w:rPr>
      </w:pPr>
      <w:r>
        <w:rPr>
          <w:rFonts w:ascii="Arial" w:cs="Arial" w:hAnsi="Arial"/>
          <w:szCs w:val="24"/>
        </w:rPr>
        <w:t xml:space="preserve">ter assegurado a manutenção do equilíbrio econômico-financeiro ao longo da vigência do Contrato de Concessão celebrado pelas partes; e </w:t>
      </w:r>
    </w:p>
    <w:p>
      <w:pPr>
        <w:pStyle w:val="style0"/>
        <w:numPr>
          <w:ilvl w:val="0"/>
          <w:numId w:val="9"/>
        </w:numPr>
        <w:ind w:hanging="360" w:left="10" w:right="-26"/>
        <w:rPr>
          <w:rFonts w:ascii="Arial" w:cs="Arial" w:hAnsi="Arial"/>
          <w:szCs w:val="24"/>
        </w:rPr>
      </w:pPr>
      <w:r>
        <w:rPr>
          <w:rFonts w:ascii="Arial" w:cs="Arial" w:hAnsi="Arial"/>
          <w:szCs w:val="24"/>
        </w:rPr>
        <w:t xml:space="preserve">executar as obras de implantação e manutenção de componentes dos sistemas de abastecimento de água e esgotamento sanitário em vias e espaços públicos, em conformidade com o item 6 do Termo de Referência.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0"/>
        </w:numPr>
        <w:ind w:hanging="360" w:left="730" w:right="-26"/>
        <w:rPr>
          <w:rFonts w:ascii="Arial" w:cs="Arial" w:hAnsi="Arial"/>
          <w:szCs w:val="24"/>
        </w:rPr>
      </w:pPr>
      <w:r>
        <w:rPr>
          <w:rFonts w:ascii="Arial" w:cs="Arial" w:hAnsi="Arial"/>
          <w:szCs w:val="24"/>
        </w:rPr>
        <w:t xml:space="preserve">A Concessionária deverá se empenhar para evitar transtornos aos seus Usuários e população em geral na prestação dos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0"/>
        </w:numPr>
        <w:ind w:hanging="360" w:left="730" w:right="-26"/>
        <w:rPr>
          <w:rFonts w:ascii="Arial" w:cs="Arial" w:hAnsi="Arial"/>
          <w:szCs w:val="24"/>
        </w:rPr>
      </w:pPr>
      <w:r>
        <w:rPr>
          <w:rFonts w:ascii="Arial" w:cs="Arial" w:hAnsi="Arial"/>
          <w:szCs w:val="24"/>
        </w:rPr>
        <w:t xml:space="preserve">Os locais acima referidos, uma vez abertos ao trânsito de veículos e pedestres, devem estar em perfeitas e adequadas condições de uso, respeitadas as posturas e normas do Município.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0"/>
        </w:numPr>
        <w:ind w:hanging="360" w:left="730" w:right="-26"/>
        <w:rPr>
          <w:rFonts w:ascii="Arial" w:cs="Arial" w:hAnsi="Arial"/>
          <w:szCs w:val="24"/>
        </w:rPr>
      </w:pPr>
      <w:r>
        <w:rPr>
          <w:rFonts w:ascii="Arial" w:cs="Arial" w:hAnsi="Arial"/>
          <w:szCs w:val="24"/>
        </w:rPr>
        <w:t xml:space="preserve">A Concessionária deverá cooperar com os programas criados pelo Poder Concedente, pela Agência Reguladora ou por outro ente público, para melhorar e ampliar 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25 - Operação e Manutenção do Sistema</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25.1. A Concessionária, a partir da data de assunção do sistema, deverá prestar o serviço público de abastecimento de água e esgotamento sanitário comprometendo-se a empregar todos os recursos necessários para atender esse objetivo.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25.2. O sistema deverá ser mantido e operado pela Concessionária, tornando-se esta, até a extinção da Concessão, a única responsável pela operação e conservação de tais bens afetos, tidos como necessários e vinculados a execução dos serviços públicos de abastecimento de água e de esgotamento sanitário na Área de Concessão, observado o disposto no item seguinte desta Cláusula.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25.3. Os bens afetos à Concessão integrantes do sistema deverão ser reformados, substituídos, conservados, e com eventuais modernizações do sistema, operados e mantidos em suas condições normais de uso, de tal maneira que, quando devolvidos ao Poder Concedente, encontrem-se em seu estado normal de utilização, excetuado o desgaste normal proveniente de seu funcionamento.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26 - Serviços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26.1. Os critérios, indicadores, formulas e parâmetros definidores da qualidade dos serviços públicos de abastecimento de agua e de esgotamento sanitário constam do regulamento da prestação dos serviços, das demais normas aplicáveis, inclusive sanitárias, além das demais condições estabelecidas neste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26.2. No caso de existirem objeções em relação aos serviços realizados pela Concessionária, esta será informada, fundamentadamente, sobre as observações e motivos das objeções, abrindo-se prazo para cumprimento das exigências pela Concessionária, após lhe ter sido assegurado o direito ao contraditório e a ampla defesa.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27 - Investimentos e Obras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27.1. A execução das obras deverá respeitar com rigor todas as disposições, prazos e especificações técnicas constantes do Edital, deste Contrato e seus anexos.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27.2. Nos prazos previstos na Proposta Técnica e compatíveis com os respectivos cronogramas, a Concessionária submeterá à apreciação do Poder Concedente os projetos e demais peças dele integrantes, bem como as licenças, autorizações ou aprovações das autoridades competentes.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27.3. O Poder Concedente terá o prazo de até 15 (quinze) dias corridos, contados da data da apresentação dos projetos pela Concessionária, para se pronunciar a respeito.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27.4. A Concessionária deverá ser comunicada formalmente acerca da aprovação dos projetos e demais especificações pertinentes, nos prazos previstos, a fim de que possa dar início a execução das obras.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27.5. Na hipótese de não haver concordância, total ou parcial, com os projetos, a Concessionária deverá ser fundamentadamente informada, dentro do prazo aludido no item 27.4, sobre as razoes da inconformidade, devendo a Concessionária proceder as respectivas alterações, recomeçando a contagem a partir do cumprimento dessa exigência.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27.6. Os projetos e estudos serão considerados aprovados, ficando a Concessionária autorizada a proceder a execução das respectivas obras, caso não haja manifestação do Poder Concedente, nos prazos previstos nos itens 27.4 e 27.6.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27.7. As Partes poderão acordar acerca de um programa conjunto para acompanhamento, pelo Poder Concedente, da elaboração e desenvolvimento dos projetos, de modo a reduzir os prazos de aprovação.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27.8. A aprovação dos projetos não implica em qualquer responsabilidade ao Poder Concedente, tampouco exime a Concessionária das suas obrigações oriundas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27.9. A Concessionária deverá encaminhar ao Poder Concedente e a Agência Reguladora toda a documentação relacionada as obras, inclusive os projetos básico e executivo, após sua conclusão.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27.10. A Concessionária poderá dar início a execução das obras, desde que atendidas as disposições deste Contrato, especialmente no que se refere a contratação dos seguros necessários.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28 - Recebimento das Obras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28.1. Sempre que concluída determinada obra, a Concessionária deverá notificar o Poder Concedente a esse respeito.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28.2. No prazo máximo de 15 (quinze) dias contados da notificação acima, o Poder Concedente e a Concessionária deverão proceder, em conjunto, a vistoria das obras, por meio dos representantes designados especificamente para este fim, lavrando-se o competente "Termo de Recebimento Provisório das Obras".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28.3. No prazo máximo de 90 (noventa) dias contados do recebimento provisório, o Poder Concedente e a Concessionária deverão proceder, em conjunto, a vistoria das obras, por meio dos representantes designados especificamente para este fim, lavrando-se o competente "Termo de Recebimento Definitivo das Obras".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28.4. Durante o prazo de que trata este item, o Poder Concedente poderá promover as vistorias e observações que entender necessárias para verificar a adequação das obras aos termos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28.5. Na hipótese de o Poder Concedente não comparecer para a realização da vistoria ou não proceder a lavratura de qualquer dos Termos de Recebimento previstos nos itens 28.2 e 28.3 desta Clausula, reputar-se-á como aceita e recebida a obra, conforme o caso, provisória ou definitivamente, bem como lavrado o competente Termo, após comunicado da Concessionária nesse sentido.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28.6. O recebimento das obras não exclui a responsabilidade civil da Concessionária por suas solidez e segurança, nos limites do estipulado neste Contrato e na legislação aplicável.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29 - Seguros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29.1. A Concessionária durante o prazo da Concessão deverá manter a efetiva cobertura dos riscos inerentes a execução das atividades relacionadas a Concessão, bem como aqueles previstos no Contrato, nos termos e nas condições aprovadas pelo Poder Concedente, através de contratos a serem negociados pela Concessionária, observadas as disposições abaixo.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29.2. Além dos seguros obrigatórios por lei, a Concessionária obriga-se a contratar os seguintes seguros: </w:t>
      </w:r>
    </w:p>
    <w:p>
      <w:pPr>
        <w:pStyle w:val="style0"/>
        <w:numPr>
          <w:ilvl w:val="0"/>
          <w:numId w:val="11"/>
        </w:numPr>
        <w:ind w:hanging="360" w:left="259" w:right="-26"/>
        <w:rPr>
          <w:rFonts w:ascii="Arial" w:cs="Arial" w:hAnsi="Arial"/>
          <w:szCs w:val="24"/>
        </w:rPr>
      </w:pPr>
      <w:r>
        <w:rPr>
          <w:rFonts w:ascii="Arial" w:cs="Arial" w:hAnsi="Arial"/>
          <w:szCs w:val="24"/>
        </w:rPr>
        <w:t xml:space="preserve">seguro de todos os riscos de construção (riscos de engenharia); </w:t>
      </w:r>
    </w:p>
    <w:p>
      <w:pPr>
        <w:pStyle w:val="style0"/>
        <w:numPr>
          <w:ilvl w:val="0"/>
          <w:numId w:val="11"/>
        </w:numPr>
        <w:ind w:hanging="360" w:left="259" w:right="-26"/>
        <w:rPr>
          <w:rFonts w:ascii="Arial" w:cs="Arial" w:hAnsi="Arial"/>
          <w:szCs w:val="24"/>
        </w:rPr>
      </w:pPr>
      <w:r>
        <w:rPr>
          <w:rFonts w:ascii="Arial" w:cs="Arial" w:hAnsi="Arial"/>
          <w:szCs w:val="24"/>
        </w:rPr>
        <w:t xml:space="preserve">seguro de maquinaria e equipamento de obra; e </w:t>
      </w:r>
    </w:p>
    <w:p>
      <w:pPr>
        <w:pStyle w:val="style0"/>
        <w:numPr>
          <w:ilvl w:val="0"/>
          <w:numId w:val="11"/>
        </w:numPr>
        <w:ind w:hanging="360" w:left="259" w:right="-26"/>
        <w:rPr>
          <w:rFonts w:ascii="Arial" w:cs="Arial" w:hAnsi="Arial"/>
          <w:szCs w:val="24"/>
        </w:rPr>
      </w:pPr>
      <w:r>
        <w:rPr>
          <w:rFonts w:ascii="Arial" w:cs="Arial" w:hAnsi="Arial"/>
          <w:szCs w:val="24"/>
        </w:rPr>
        <w:t>seguros de responsabilidade civil (</w:t>
      </w:r>
      <w:r>
        <w:rPr>
          <w:rFonts w:ascii="Arial" w:cs="Arial" w:hAnsi="Arial"/>
          <w:i/>
          <w:szCs w:val="24"/>
        </w:rPr>
        <w:t>legal liability insurance</w:t>
      </w:r>
      <w:r>
        <w:rPr>
          <w:rFonts w:ascii="Arial" w:cs="Arial" w:hAnsi="Arial"/>
          <w:szCs w:val="24"/>
        </w:rPr>
        <w:t xml:space="preserve">), cobrindo a Concessionária e o Poder Concedente pelos montantes que possam vir a ser responsabilizados a título de perdas e danos, indenizações, custas processuais, honorários advocatícios e outros encargos, em relação a morte ou lesão de pessoas e danos a bens resultantes do desenvolvimento das atividades previstas no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2"/>
        </w:numPr>
        <w:ind w:hanging="360" w:left="730" w:right="-26"/>
        <w:rPr>
          <w:rFonts w:ascii="Arial" w:cs="Arial" w:hAnsi="Arial"/>
          <w:szCs w:val="24"/>
        </w:rPr>
      </w:pPr>
      <w:r>
        <w:rPr>
          <w:rFonts w:ascii="Arial" w:cs="Arial" w:hAnsi="Arial"/>
          <w:szCs w:val="24"/>
        </w:rPr>
        <w:t xml:space="preserve">A Concessionária deverá, no prazo de 120 (cento e vinte) dias contados da assinatura do presente Contrato, apresentar as apólices de seguros acima relacionadas, que deverá ser compatível com a cobertura dos riscos inerentes.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2"/>
        </w:numPr>
        <w:ind w:hanging="360" w:left="730" w:right="-26"/>
        <w:rPr>
          <w:rFonts w:ascii="Arial" w:cs="Arial" w:hAnsi="Arial"/>
          <w:szCs w:val="24"/>
        </w:rPr>
      </w:pPr>
      <w:r>
        <w:rPr>
          <w:rFonts w:ascii="Arial" w:cs="Arial" w:hAnsi="Arial"/>
          <w:szCs w:val="24"/>
        </w:rPr>
        <w:t xml:space="preserve">A Concessionária poderá alterar coberturas e franquias, bem como outras condições das apólices contratadas a fim de adequá-las as fases de desenvolvimento dos serviços públicos de abastecimento de água e de esgotamento sanitário objeto da presente concessão, sendo certo que o Poder Concedente deverá ser comunicado no caso de referidas alterações.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2"/>
        </w:numPr>
        <w:ind w:hanging="360" w:left="730" w:right="-26"/>
        <w:rPr>
          <w:rFonts w:ascii="Arial" w:cs="Arial" w:hAnsi="Arial"/>
          <w:szCs w:val="24"/>
        </w:rPr>
      </w:pPr>
      <w:r>
        <w:rPr>
          <w:rFonts w:ascii="Arial" w:cs="Arial" w:hAnsi="Arial"/>
          <w:szCs w:val="24"/>
        </w:rPr>
        <w:t xml:space="preserve">O Poder Concedente deverá ser indicado como cossegurado nas apólices dos seguros referidas nesta cláusula, devendo o cancelamento, a suspensão ou a substituição de tais apólices ser previamente comunicado ao mesmo.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2"/>
        </w:numPr>
        <w:ind w:hanging="360" w:left="730" w:right="-26"/>
        <w:rPr>
          <w:rFonts w:ascii="Arial" w:cs="Arial" w:hAnsi="Arial"/>
          <w:szCs w:val="24"/>
        </w:rPr>
      </w:pPr>
      <w:r>
        <w:rPr>
          <w:rFonts w:ascii="Arial" w:cs="Arial" w:hAnsi="Arial"/>
          <w:szCs w:val="24"/>
        </w:rPr>
        <w:t xml:space="preserve">Ocorrendo a hipótese de sinistros não cobertos pelos seguros contratados, a Concessionária responder isoladamente pelos danos e prejuízos que, eventualmente, causar ao Poder Concedente em decorrência da execução das obras, correndo as suas expensas, exclusivamente, as indenizações resultantes de tais danos e prejuízos.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2"/>
        </w:numPr>
        <w:ind w:hanging="360" w:left="730" w:right="-26"/>
        <w:rPr>
          <w:rFonts w:ascii="Arial" w:cs="Arial" w:hAnsi="Arial"/>
          <w:szCs w:val="24"/>
        </w:rPr>
      </w:pPr>
      <w:r>
        <w:rPr>
          <w:rFonts w:ascii="Arial" w:cs="Arial" w:hAnsi="Arial"/>
          <w:szCs w:val="24"/>
        </w:rPr>
        <w:t xml:space="preserve">O descumprimento, pela Concessionária, da obrigação de contratar ou manter as apólices de seguro de que trata está cláusula, poderá ensejar a aplicação das sanções previstas neste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2"/>
        </w:numPr>
        <w:ind w:hanging="360" w:left="730" w:right="-26"/>
        <w:rPr>
          <w:rFonts w:ascii="Arial" w:cs="Arial" w:hAnsi="Arial"/>
          <w:szCs w:val="24"/>
        </w:rPr>
      </w:pPr>
      <w:r>
        <w:rPr>
          <w:rFonts w:ascii="Arial" w:cs="Arial" w:hAnsi="Arial"/>
          <w:szCs w:val="24"/>
        </w:rPr>
        <w:t xml:space="preserve">A Concessionária deverá comprovar ao Poder Concedente, quando este assim solicitar, no prazo de 15 (quinze) dias contados do recebimento da referida solicitação, que as apólices de seguro previstas neste contrato estão em plena vigência e que os respectivos prémios vencidos encontram-se pagos.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2"/>
        </w:numPr>
        <w:ind w:hanging="360" w:left="730" w:right="-26"/>
        <w:rPr>
          <w:rFonts w:ascii="Arial" w:cs="Arial" w:hAnsi="Arial"/>
          <w:szCs w:val="24"/>
        </w:rPr>
      </w:pPr>
      <w:r>
        <w:rPr>
          <w:rFonts w:ascii="Arial" w:cs="Arial" w:hAnsi="Arial"/>
          <w:szCs w:val="24"/>
        </w:rPr>
        <w:t xml:space="preserve">A Concessionária poderá dar início a execução das obras, desde que atendidas as disposições do contrato, especialmente no que se refere a contratação dos seguros necessários.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30 - Garantia de Execução do Contrato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shd w:fill="FFFF00" w:val="clear"/>
        </w:rPr>
      </w:pPr>
      <w:r>
        <w:rPr>
          <w:rFonts w:ascii="Arial" w:cs="Arial" w:hAnsi="Arial"/>
          <w:szCs w:val="24"/>
          <w:shd w:fill="FFFF00" w:val="clear"/>
        </w:rPr>
        <w:t xml:space="preserve">30.1. Em garantia do bom cumprimento das obrigações assumidas no Contrato, a Concessionária, antes da assunção dos serviços, deverá prestar a garantia no valor de R$ (...) (extenso), na forma de. (...), correspondente a 1% do valor do Contrato, conforme o estipulado no artigo 56 da Lei Federal nº 8.666/1993 e alterações posteriores.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30.2. A garantia deverá ser mantida pela Concessionária até a data de extinção deste Contrato, por meio de renovações periódicas.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30.3. A garantia será proporcionalmente reduzida à razão de 1/30 (um trinta avos) a cada ano de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30.4. O recurso à garantia será efetuado por meio de comunicação escrita dirigida pelo Poder Concedente à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30.5. A garantia não poderá conter qualquer tipo de ressalva ou condição que possa dificultar ou impedir sua execução ou que possa deixar dívidas quanto a sua firmeza. </w:t>
      </w:r>
    </w:p>
    <w:p>
      <w:pPr>
        <w:pStyle w:val="style0"/>
        <w:ind w:hanging="0" w:left="0" w:right="-26"/>
        <w:rPr>
          <w:rFonts w:ascii="Arial" w:cs="Arial" w:hAnsi="Arial"/>
          <w:szCs w:val="24"/>
        </w:rPr>
      </w:pPr>
      <w:r>
        <w:rPr>
          <w:rFonts w:ascii="Arial" w:cs="Arial" w:hAnsi="Arial"/>
          <w:szCs w:val="24"/>
        </w:rPr>
      </w:r>
    </w:p>
    <w:p>
      <w:pPr>
        <w:pStyle w:val="style0"/>
        <w:ind w:hanging="0" w:left="0" w:right="-26"/>
        <w:rPr>
          <w:rFonts w:ascii="Arial" w:cs="Arial" w:hAnsi="Arial"/>
          <w:szCs w:val="24"/>
        </w:rPr>
      </w:pPr>
      <w:r>
        <w:rPr>
          <w:rFonts w:ascii="Arial" w:cs="Arial" w:hAnsi="Arial"/>
          <w:szCs w:val="24"/>
        </w:rPr>
        <w:t xml:space="preserve">30.6. Todas as despesas decorrentes da prestação da garantia correrão por conta da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30.7. Qualquer modificação nos termos e nas condições da garantia deverá ser previamente aprovada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30.8. A Concessionária deverá reajustar o valor estabelecido no item 30.1 desta Cláusula, no mesmo período e forma em que se der o reajuste das tarifas, complementando a garantia, no prazo de 45 (quarenta e cinco) dias, a contar da vigência do reajuste das tarifas. </w:t>
      </w:r>
    </w:p>
    <w:p>
      <w:pPr>
        <w:pStyle w:val="style0"/>
        <w:spacing w:line="256" w:lineRule="auto"/>
        <w:ind w:hanging="0" w:left="0" w:right="-26"/>
        <w:rPr>
          <w:rFonts w:ascii="Arial" w:cs="Arial" w:hAnsi="Arial"/>
          <w:color w:val="1F4E79"/>
          <w:szCs w:val="24"/>
        </w:rPr>
      </w:pPr>
      <w:r>
        <w:rPr>
          <w:rFonts w:ascii="Arial" w:cs="Arial" w:hAnsi="Arial"/>
          <w:color w:val="1F4E79"/>
          <w:szCs w:val="24"/>
        </w:rPr>
        <w:t xml:space="preserve"> </w:t>
      </w:r>
    </w:p>
    <w:p>
      <w:pPr>
        <w:pStyle w:val="style0"/>
        <w:ind w:hanging="0" w:left="0" w:right="-26"/>
        <w:rPr>
          <w:rFonts w:ascii="Arial" w:cs="Arial" w:hAnsi="Arial"/>
          <w:szCs w:val="24"/>
        </w:rPr>
      </w:pPr>
      <w:r>
        <w:rPr>
          <w:rFonts w:ascii="Arial" w:cs="Arial" w:hAnsi="Arial"/>
          <w:szCs w:val="24"/>
        </w:rPr>
        <w:t xml:space="preserve">30.9. A garantia, prestada pela Concessionária, somente será liberada ou restituída após 30 (trinta) dias contados da data de extinção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30.10. A garantia poderá ser executada pelo Poder Concedente a qualquer momento, observadas as condições previstas no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30.11. O depósito da garantia é condição para a assinatura do contrato.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31 - Fiscalização e Regulação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31.1. Para exercício da fiscalização, a Concessionária obriga-se a manter cadastro atualizado, conferindo livre acesso a Agência Reguladora e ao Poder Concedente ao sistema e a todos os dados, livros, registros e documentos relacionados a Concessão, prestando, a respeito destes, os esclarecimentos que lhe forem solicitados.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31.2. A Agência Reguladora poderá realizar, na presença dos representantes da Concessionária, ou requerer que está realize às suas custas, observadas as condições do Regulamento da Prestação dos Serviços, ensaios ou testes que possibilitem a verificação das condições de adequação do funcionamento do sistema, mediante programa especifico a ser estabelecido de comum acordo.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37" w:lineRule="auto"/>
        <w:ind w:hanging="0" w:left="0" w:right="-26"/>
        <w:rPr>
          <w:rFonts w:ascii="Arial" w:cs="Arial" w:hAnsi="Arial"/>
          <w:szCs w:val="24"/>
        </w:rPr>
      </w:pPr>
      <w:r>
        <w:rPr>
          <w:rFonts w:ascii="Arial" w:cs="Arial" w:hAnsi="Arial"/>
          <w:szCs w:val="24"/>
        </w:rPr>
        <w:t xml:space="preserve">31.3. A Agência Reguladora poderá, as suas custas, realizar auditorias técnicas no sistema, ou indicar terceiro para fazê-lo, sempre na presença dos representantes da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31.4. A Concessionária deverá apresentar relatórios técnicos, operacionais e financeiros, anuais, com a finalidade de demonstrar a execução das obras e serviços previstos no memorial descritivo.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31.5. O conteúdo e a forma de apresentação dos relatórios previstos no item 31.4 serão estabelecidos nas normas reguladoras expedidas pela própria Agência Reguladora.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shd w:fill="FFFF00" w:val="clear"/>
        </w:rPr>
      </w:pPr>
      <w:r>
        <w:rPr>
          <w:rFonts w:ascii="Arial" w:cs="Arial" w:hAnsi="Arial"/>
          <w:szCs w:val="24"/>
        </w:rPr>
        <w:t xml:space="preserve">31.6. </w:t>
      </w:r>
      <w:r>
        <w:rPr>
          <w:rFonts w:ascii="Arial" w:cs="Arial" w:hAnsi="Arial"/>
          <w:szCs w:val="24"/>
          <w:shd w:fill="FFFF00" w:val="clear"/>
        </w:rPr>
        <w:t xml:space="preserve">O responsável pela fiscalização anotará, em registro próprio, todas as ocorrências relacionadas com a concessão, determinando a Concessionária a regularização das faltas ou defeitos verificados e emitindo os autos de infração, quando for o caso, nos termos previstos neste Contrato e nas normas de regulação expedidas pela própria Agência de Regulação.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31.7. A fiscalização da Concessão lido poderá obstruir ou prejudicar a exploração normal da concessão pela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31.8. A Concessionária deverá ser informada acerca de eventuais atrasos ou discrepâncias entre a execução das obras e serviços e o cronograma da Concessão vigente, de forma detalhada, cabendo-lhe identificar as providências que estiverem sendo adotadas para corrigir esses fatos.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31.9. As decisões e notificações deverão ser exaradas por agente público legitimado da Agência Reguladora, sob pena de nulidade.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shd w:fill="FFFF00" w:val="clear"/>
        </w:rPr>
      </w:pPr>
      <w:r>
        <w:rPr>
          <w:rFonts w:ascii="Arial" w:cs="Arial" w:hAnsi="Arial"/>
          <w:szCs w:val="24"/>
        </w:rPr>
        <w:t xml:space="preserve">31.10. </w:t>
      </w:r>
      <w:r>
        <w:rPr>
          <w:rFonts w:ascii="Arial" w:cs="Arial" w:hAnsi="Arial"/>
          <w:szCs w:val="24"/>
          <w:shd w:fill="FFFF00" w:val="clear"/>
        </w:rPr>
        <w:t xml:space="preserve">As determinações que vierem a ser emitidas no âmbito dos poderes de fiscalização deverão ser aplicadas e vincularão a Concessionária, nos termos deste Contrato, da legislação vigente e das normas regulatórias expedidas pela própria Agência de Regulação.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31.11. A Concessionária é obrigada a reparar, corrigir, remover, reconstruir ou substituir, as suas expensas, no todo ou em parte, as obras e serviços pertinentes a Concessão em que a fiscalização verifique, de forma justificada, vícios, defeitos ou incorreções resultantes da execução ou de materiais empregados, nos prazos que razoavelmente forem fixados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31.12. Caso a Concessionária não concorde com decisão quanto a qualidade do trabalho das obras ou serviços, ou quanto aos prazos fixados para as correções, ser-lhe-á facultado, em primeira instância administrativa, apresentar defesa no prazo de 30 (trinta) dias da notificação.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31.13. Da decisão a que se refere o item 31.12 caberá recurso administrativo, no prazo de 30 (trinta) dias. No curso do processo administrativo serão observados os dispositivos legais que regem a matéria, bem como as normas expedidas pelo Poder Concedente, inclusive quanto ao procedimento de fiscalização e penalização.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31.14. A decisão proferida em sede de recurso administrativo irrecorrível, respeitado o direito das partes acionar a solução da controvérsia pelo mecanismo da arbitragem, nos termos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32 - Desapropriações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32.1. Caberá ao Poder Concedente declarar de utilidade pública e promover desapropriações, mediante pagamento de indenização, instituir servidões administrativas, propor limitações administrativas e permitir a Concessionária a ocupação provisória de bens imóveis necessários a execução e conservação de obras e serviços vinculados 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32.2. Os ônus decorrentes das desapropriações ou imposição de servidões administrativas, seja por acordo, seja pela propositura de ações judiciais, correrão às expensas do Poder Concedente, nos termos do Edital e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32.3. O disposto no item 32.2 aplica-se também à autorização para ocupação provisória de bens imóveis, bem assim para o estabelecimento de limitações administrativas de caráter geral para o uso de bens imóveis necessários a prestação dos serviços públicos de abastecimento de água e de esgotamento sanitário.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32.4. Compete a Concessionária indicar, de forma justificada, com 30 (trinta) dias de antecedência as áreas que deverão ser declaradas de utilidade pública para fins de desapropriação ou instituídas como servidões administrativas, dos bens imóveis necessários a execução e conservação dos serviços e obras vinculados a concessão, para que o Poder Concedente promova as respectivas declarações de utilidade pública, bem como adote os procedimentos necessários.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33 - Contratos da Concessionária com Terceiros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33.1. Sem prejuízo das responsabilidades e dos riscos previstos neste contrato, a Concessionária poderá contratar com terceiros o desenvolvimento de atividades inerentes, acessórias ou complementares aos serviços públicos de abastecimento de água e de esgotamento sanitário, bem como a implantação de projetos associados e a execução dos serviços complementares, desde que não ultrapassem o Prazo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33.2. Os contratos de que trata esta cláusula serão regidos pelo direito privado e, no que se refere aos seus empregados, pela legislação trabalhista.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33.3. A execução das atividades contratadas com terceiros impõe o cumprimento das normas regulamentares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33.4. Ainda que o Poder Concedente tenha conhecimento prévio dos termos de qualquer contrato firmado entre a Concessionária e terceiros, a mesma não poderá pleitear ou reivindicar do Poder Concedente qualquer alteração no cumprimento de suas obrigações, ressarcimento de prejuízos ou perda de benefícios.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34 - Sanções Administrativas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34.1. A falta de cumprimento, por parte da Concessionária, de qualquer cláusula ou condição deste Contrato e demais normas técnicas pertinentes, sem prejuízo do disposto nas demais cláusulas do Contrato, poderá ensejar a aplicação, das seguintes penalidades, isolada ou cumulativamente, nos termos da legislação aplicável: </w:t>
      </w:r>
    </w:p>
    <w:p>
      <w:pPr>
        <w:pStyle w:val="style0"/>
        <w:ind w:hanging="0" w:left="0" w:right="-26"/>
        <w:rPr>
          <w:rFonts w:ascii="Arial" w:cs="Arial" w:hAnsi="Arial"/>
          <w:szCs w:val="24"/>
        </w:rPr>
      </w:pPr>
      <w:r>
        <w:rPr>
          <w:rFonts w:ascii="Arial" w:cs="Arial" w:hAnsi="Arial"/>
          <w:szCs w:val="24"/>
        </w:rPr>
        <w:t>a)</w:t>
        <w:tab/>
        <w:t xml:space="preserve">advertência; </w:t>
      </w:r>
    </w:p>
    <w:p>
      <w:pPr>
        <w:pStyle w:val="style0"/>
        <w:numPr>
          <w:ilvl w:val="0"/>
          <w:numId w:val="13"/>
        </w:numPr>
        <w:ind w:hanging="360" w:left="259" w:right="-26"/>
        <w:rPr>
          <w:rFonts w:ascii="Arial" w:cs="Arial" w:hAnsi="Arial"/>
          <w:szCs w:val="24"/>
        </w:rPr>
      </w:pPr>
      <w:r>
        <w:rPr>
          <w:rFonts w:ascii="Arial" w:cs="Arial" w:hAnsi="Arial"/>
          <w:szCs w:val="24"/>
        </w:rPr>
        <w:t xml:space="preserve">multa; </w:t>
      </w:r>
    </w:p>
    <w:p>
      <w:pPr>
        <w:pStyle w:val="style0"/>
        <w:numPr>
          <w:ilvl w:val="0"/>
          <w:numId w:val="13"/>
        </w:numPr>
        <w:ind w:hanging="360" w:left="259" w:right="-26"/>
        <w:rPr>
          <w:rFonts w:ascii="Arial" w:cs="Arial" w:hAnsi="Arial"/>
          <w:szCs w:val="24"/>
        </w:rPr>
      </w:pPr>
      <w:r>
        <w:rPr>
          <w:rFonts w:ascii="Arial" w:cs="Arial" w:hAnsi="Arial"/>
          <w:szCs w:val="24"/>
        </w:rPr>
        <w:t xml:space="preserve">suspensão temporária de participação em Licitação e impedimento de contratar com a Administração por prazo não superior a 2 (dois) anos; e </w:t>
      </w:r>
    </w:p>
    <w:p>
      <w:pPr>
        <w:pStyle w:val="style0"/>
        <w:numPr>
          <w:ilvl w:val="0"/>
          <w:numId w:val="13"/>
        </w:numPr>
        <w:ind w:hanging="360" w:left="259" w:right="-26"/>
        <w:rPr>
          <w:rFonts w:ascii="Arial" w:cs="Arial" w:hAnsi="Arial"/>
          <w:szCs w:val="24"/>
        </w:rPr>
      </w:pPr>
      <w:r>
        <w:rPr>
          <w:rFonts w:ascii="Arial" w:cs="Arial" w:hAnsi="Arial"/>
          <w:szCs w:val="24"/>
        </w:rPr>
        <w:t xml:space="preserve">declaração de inidoneidade para licitar e contratar com a Administração Pública enquanto perdurarem os motivos determinantes da punição ou até que seja promovida a reabilitação, na forma da lei, perante a própria autoridade que aplicou a penalidade.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34.2. A gradação das sanções observará a seguinte escala: </w:t>
      </w:r>
    </w:p>
    <w:p>
      <w:pPr>
        <w:pStyle w:val="style0"/>
        <w:numPr>
          <w:ilvl w:val="0"/>
          <w:numId w:val="14"/>
        </w:numPr>
        <w:ind w:hanging="360" w:left="343" w:right="-26"/>
        <w:rPr>
          <w:rFonts w:ascii="Arial" w:cs="Arial" w:hAnsi="Arial"/>
          <w:szCs w:val="24"/>
        </w:rPr>
      </w:pPr>
      <w:r>
        <w:rPr>
          <w:rFonts w:ascii="Arial" w:cs="Arial" w:hAnsi="Arial"/>
          <w:szCs w:val="24"/>
        </w:rPr>
        <w:t xml:space="preserve">infração leve: quando decorrer de condutas involuntárias ou escusáveis da </w:t>
      </w:r>
    </w:p>
    <w:p>
      <w:pPr>
        <w:pStyle w:val="style0"/>
        <w:ind w:hanging="0" w:left="0" w:right="-26"/>
        <w:rPr>
          <w:rFonts w:ascii="Arial" w:cs="Arial" w:hAnsi="Arial"/>
          <w:szCs w:val="24"/>
        </w:rPr>
      </w:pPr>
      <w:r>
        <w:rPr>
          <w:rFonts w:ascii="Arial" w:cs="Arial" w:hAnsi="Arial"/>
          <w:szCs w:val="24"/>
        </w:rPr>
        <w:t xml:space="preserve">Concessionária e da qual ela não se beneficie; </w:t>
      </w:r>
    </w:p>
    <w:p>
      <w:pPr>
        <w:pStyle w:val="style0"/>
        <w:numPr>
          <w:ilvl w:val="0"/>
          <w:numId w:val="14"/>
        </w:numPr>
        <w:ind w:hanging="360" w:left="343" w:right="-26"/>
        <w:rPr>
          <w:rFonts w:ascii="Arial" w:cs="Arial" w:hAnsi="Arial"/>
          <w:szCs w:val="24"/>
        </w:rPr>
      </w:pPr>
      <w:r>
        <w:rPr>
          <w:rFonts w:ascii="Arial" w:cs="Arial" w:hAnsi="Arial"/>
          <w:szCs w:val="24"/>
        </w:rPr>
        <w:t xml:space="preserve">infração de média gravidade: quando decorrer de conduta inescusável, mas que não traga para a Concessionária qualquer benefício ou proveito; </w:t>
      </w:r>
    </w:p>
    <w:p>
      <w:pPr>
        <w:pStyle w:val="style0"/>
        <w:numPr>
          <w:ilvl w:val="0"/>
          <w:numId w:val="14"/>
        </w:numPr>
        <w:ind w:hanging="360" w:left="343" w:right="-26"/>
        <w:rPr>
          <w:rFonts w:ascii="Arial" w:cs="Arial" w:hAnsi="Arial"/>
          <w:szCs w:val="24"/>
        </w:rPr>
      </w:pPr>
      <w:r>
        <w:rPr>
          <w:rFonts w:ascii="Arial" w:cs="Arial" w:hAnsi="Arial"/>
          <w:szCs w:val="24"/>
        </w:rPr>
        <w:t xml:space="preserve">infração grave: quando constatada a presença de, pelo menos, um dos seguintes elementos: </w:t>
      </w:r>
    </w:p>
    <w:p>
      <w:pPr>
        <w:pStyle w:val="style0"/>
        <w:numPr>
          <w:ilvl w:val="1"/>
          <w:numId w:val="14"/>
        </w:numPr>
        <w:ind w:hanging="360" w:left="1146" w:right="-26"/>
        <w:rPr>
          <w:rFonts w:ascii="Arial" w:cs="Arial" w:hAnsi="Arial"/>
          <w:szCs w:val="24"/>
        </w:rPr>
      </w:pPr>
      <w:r>
        <w:rPr>
          <w:rFonts w:ascii="Arial" w:cs="Arial" w:hAnsi="Arial"/>
          <w:szCs w:val="24"/>
        </w:rPr>
        <w:t xml:space="preserve">ter a Concessionária agido de má-fé; </w:t>
      </w:r>
    </w:p>
    <w:p>
      <w:pPr>
        <w:pStyle w:val="style0"/>
        <w:numPr>
          <w:ilvl w:val="1"/>
          <w:numId w:val="14"/>
        </w:numPr>
        <w:ind w:hanging="360" w:left="1146" w:right="-26"/>
        <w:rPr>
          <w:rFonts w:ascii="Arial" w:cs="Arial" w:hAnsi="Arial"/>
          <w:szCs w:val="24"/>
        </w:rPr>
      </w:pPr>
      <w:r>
        <w:rPr>
          <w:rFonts w:ascii="Arial" w:cs="Arial" w:hAnsi="Arial"/>
          <w:szCs w:val="24"/>
        </w:rPr>
        <w:t xml:space="preserve">da infração decorrer benefício direto ou indireto para a Concessionária; </w:t>
      </w:r>
    </w:p>
    <w:p>
      <w:pPr>
        <w:pStyle w:val="style0"/>
        <w:numPr>
          <w:ilvl w:val="1"/>
          <w:numId w:val="14"/>
        </w:numPr>
        <w:ind w:hanging="360" w:left="1146" w:right="-26"/>
        <w:rPr>
          <w:rFonts w:ascii="Arial" w:cs="Arial" w:hAnsi="Arial"/>
          <w:szCs w:val="24"/>
        </w:rPr>
      </w:pPr>
      <w:r>
        <w:rPr>
          <w:rFonts w:ascii="Arial" w:cs="Arial" w:hAnsi="Arial"/>
          <w:szCs w:val="24"/>
        </w:rPr>
        <w:t xml:space="preserve">a Concessionária for reincidente na infração.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34.3. A penalidade de advertência imporá a Concessionária o dever de cumprir, no prazo estabelecido, as obrigações contratuais em que esteja inadimplente, e ser aplicada quando a Concessionária: </w:t>
      </w:r>
    </w:p>
    <w:p>
      <w:pPr>
        <w:pStyle w:val="style0"/>
        <w:numPr>
          <w:ilvl w:val="0"/>
          <w:numId w:val="15"/>
        </w:numPr>
        <w:ind w:hanging="360" w:left="246" w:right="-26"/>
        <w:rPr>
          <w:rFonts w:ascii="Arial" w:cs="Arial" w:hAnsi="Arial"/>
          <w:szCs w:val="24"/>
        </w:rPr>
      </w:pPr>
      <w:r>
        <w:rPr>
          <w:rFonts w:ascii="Arial" w:cs="Arial" w:hAnsi="Arial"/>
          <w:szCs w:val="24"/>
        </w:rPr>
        <w:t xml:space="preserve">não permitir o ingresso dos servidores do Poder Concedente ou dos demais órgãos de fiscalização para o exercício dos atos fiscalizatórios na forma prevista neste </w:t>
      </w:r>
    </w:p>
    <w:p>
      <w:pPr>
        <w:pStyle w:val="style0"/>
        <w:ind w:hanging="0" w:left="0" w:right="-26"/>
        <w:rPr>
          <w:rFonts w:ascii="Arial" w:cs="Arial" w:hAnsi="Arial"/>
          <w:szCs w:val="24"/>
        </w:rPr>
      </w:pPr>
      <w:r>
        <w:rPr>
          <w:rFonts w:ascii="Arial" w:cs="Arial" w:hAnsi="Arial"/>
          <w:szCs w:val="24"/>
        </w:rPr>
        <w:t xml:space="preserve">Contrato; </w:t>
      </w:r>
    </w:p>
    <w:p>
      <w:pPr>
        <w:pStyle w:val="style0"/>
        <w:numPr>
          <w:ilvl w:val="0"/>
          <w:numId w:val="15"/>
        </w:numPr>
        <w:ind w:hanging="360" w:left="246" w:right="-26"/>
        <w:rPr>
          <w:rFonts w:ascii="Arial" w:cs="Arial" w:hAnsi="Arial"/>
          <w:szCs w:val="24"/>
        </w:rPr>
      </w:pPr>
      <w:r>
        <w:rPr>
          <w:rFonts w:ascii="Arial" w:cs="Arial" w:hAnsi="Arial"/>
          <w:szCs w:val="24"/>
        </w:rPr>
        <w:t xml:space="preserve">não facilitar ou impedir o acesso aos livros, documentação contábil e demais informações correlatas à prestação dos serviços públicos de abastecimento de água e de esgotamento sanitário; </w:t>
      </w:r>
    </w:p>
    <w:p>
      <w:pPr>
        <w:pStyle w:val="style0"/>
        <w:numPr>
          <w:ilvl w:val="0"/>
          <w:numId w:val="15"/>
        </w:numPr>
        <w:ind w:hanging="360" w:left="246" w:right="-26"/>
        <w:rPr>
          <w:rFonts w:ascii="Arial" w:cs="Arial" w:hAnsi="Arial"/>
          <w:szCs w:val="24"/>
        </w:rPr>
      </w:pPr>
      <w:r>
        <w:rPr>
          <w:rFonts w:ascii="Arial" w:cs="Arial" w:hAnsi="Arial"/>
          <w:szCs w:val="24"/>
        </w:rPr>
        <w:t xml:space="preserve">deixar de prestar, no prazo estipulado, as informações solicitadas ou aquelas a que esteja obrigada a prestar independentemente de solicitação; </w:t>
      </w:r>
    </w:p>
    <w:p>
      <w:pPr>
        <w:pStyle w:val="style0"/>
        <w:numPr>
          <w:ilvl w:val="0"/>
          <w:numId w:val="15"/>
        </w:numPr>
        <w:ind w:hanging="360" w:left="246" w:right="-26"/>
        <w:rPr>
          <w:rFonts w:ascii="Arial" w:cs="Arial" w:hAnsi="Arial"/>
          <w:szCs w:val="24"/>
        </w:rPr>
      </w:pPr>
      <w:r>
        <w:rPr>
          <w:rFonts w:ascii="Arial" w:cs="Arial" w:hAnsi="Arial"/>
          <w:szCs w:val="24"/>
        </w:rPr>
        <w:t xml:space="preserve">descumprir qualquer uma das obrigações assumidas neste Contrato e que não se encontrem previstas neste instrumento como hipótese ensejadora de aplicação de multa; </w:t>
      </w:r>
    </w:p>
    <w:p>
      <w:pPr>
        <w:pStyle w:val="style0"/>
        <w:numPr>
          <w:ilvl w:val="0"/>
          <w:numId w:val="15"/>
        </w:numPr>
        <w:ind w:hanging="360" w:left="246" w:right="-26"/>
        <w:rPr>
          <w:rFonts w:ascii="Arial" w:cs="Arial" w:hAnsi="Arial"/>
          <w:szCs w:val="24"/>
        </w:rPr>
      </w:pPr>
      <w:r>
        <w:rPr>
          <w:rFonts w:ascii="Arial" w:cs="Arial" w:hAnsi="Arial"/>
          <w:szCs w:val="24"/>
        </w:rPr>
        <w:t xml:space="preserve">ser negligente, imprudente ou agir com imperícia no cumprimento das mesmas.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6"/>
        </w:numPr>
        <w:ind w:hanging="360" w:left="730" w:right="-26"/>
        <w:rPr>
          <w:rFonts w:ascii="Arial" w:cs="Arial" w:hAnsi="Arial"/>
          <w:szCs w:val="24"/>
        </w:rPr>
      </w:pPr>
      <w:r>
        <w:rPr>
          <w:rFonts w:ascii="Arial" w:cs="Arial" w:hAnsi="Arial"/>
          <w:szCs w:val="24"/>
        </w:rPr>
        <w:t xml:space="preserve">Sem prejuízo das demais hipóteses ensejadoras da aplicação de advertência prevista nesta Cláusula, nas infrações classificadas como leves, quando da sua primeira ocorrência, a pena de multa será substituída por pena de advertência da Concessionária, que será comunicada formalmente da sanção.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6"/>
        </w:numPr>
        <w:ind w:hanging="360" w:left="730" w:right="-26"/>
        <w:rPr>
          <w:rFonts w:ascii="Arial" w:cs="Arial" w:hAnsi="Arial"/>
          <w:szCs w:val="24"/>
        </w:rPr>
      </w:pPr>
      <w:r>
        <w:rPr>
          <w:rFonts w:ascii="Arial" w:cs="Arial" w:hAnsi="Arial"/>
          <w:szCs w:val="24"/>
        </w:rPr>
        <w:t xml:space="preserve">Sem prejuízo das demais sanções de multa ou parâmetros para tais sanções estabelecidos na legislação municipal, a Concessionária se sujeitará às seguintes sanções pecuniárias: </w:t>
      </w:r>
    </w:p>
    <w:p>
      <w:pPr>
        <w:pStyle w:val="style0"/>
        <w:numPr>
          <w:ilvl w:val="0"/>
          <w:numId w:val="17"/>
        </w:numPr>
        <w:ind w:hanging="360" w:left="10" w:right="-26"/>
        <w:rPr>
          <w:rFonts w:ascii="Arial" w:cs="Arial" w:hAnsi="Arial"/>
          <w:szCs w:val="24"/>
        </w:rPr>
      </w:pPr>
      <w:r>
        <w:rPr>
          <w:rFonts w:ascii="Arial" w:cs="Arial" w:hAnsi="Arial"/>
          <w:szCs w:val="24"/>
        </w:rPr>
        <w:t xml:space="preserve">por atraso no início ou na conclusão das obras: multa, por infração, de 2% das tarifas arrecadadas no mês anterior ao da ocorrência da infração; </w:t>
      </w:r>
    </w:p>
    <w:p>
      <w:pPr>
        <w:pStyle w:val="style0"/>
        <w:numPr>
          <w:ilvl w:val="0"/>
          <w:numId w:val="17"/>
        </w:numPr>
        <w:ind w:hanging="360" w:left="10" w:right="-26"/>
        <w:rPr>
          <w:rFonts w:ascii="Arial" w:cs="Arial" w:hAnsi="Arial"/>
          <w:szCs w:val="24"/>
        </w:rPr>
      </w:pPr>
      <w:r>
        <w:rPr>
          <w:rFonts w:ascii="Arial" w:cs="Arial" w:hAnsi="Arial"/>
          <w:szCs w:val="24"/>
        </w:rPr>
        <w:t xml:space="preserve">por atraso no início da prestação dos serviços públicos de abastecimento de água e de esgotamento sanitário: multa, por infração, de 0,5% das tarifas arrecadadas no mês anterior ao da ocorrência da infração; </w:t>
      </w:r>
    </w:p>
    <w:p>
      <w:pPr>
        <w:pStyle w:val="style0"/>
        <w:numPr>
          <w:ilvl w:val="0"/>
          <w:numId w:val="17"/>
        </w:numPr>
        <w:ind w:hanging="360" w:left="10" w:right="-26"/>
        <w:rPr>
          <w:rFonts w:ascii="Arial" w:cs="Arial" w:hAnsi="Arial"/>
          <w:szCs w:val="24"/>
        </w:rPr>
      </w:pPr>
      <w:r>
        <w:rPr>
          <w:rFonts w:ascii="Arial" w:cs="Arial" w:hAnsi="Arial"/>
          <w:szCs w:val="24"/>
        </w:rPr>
        <w:t xml:space="preserve">por descumprimento do regulamento da prestação dos serviços ou de norma de regulação expedida pela Agência de Regulação: multa, por infração, de 0,2% das tarifas arrecadadas no mês anterior ao da ocorrência da infração; </w:t>
      </w:r>
    </w:p>
    <w:p>
      <w:pPr>
        <w:pStyle w:val="style0"/>
        <w:numPr>
          <w:ilvl w:val="0"/>
          <w:numId w:val="17"/>
        </w:numPr>
        <w:ind w:hanging="360" w:left="10" w:right="-26"/>
        <w:rPr>
          <w:rFonts w:ascii="Arial" w:cs="Arial" w:hAnsi="Arial"/>
          <w:szCs w:val="24"/>
        </w:rPr>
      </w:pPr>
      <w:r>
        <w:rPr>
          <w:rFonts w:ascii="Arial" w:cs="Arial" w:hAnsi="Arial"/>
          <w:szCs w:val="24"/>
        </w:rPr>
        <w:t xml:space="preserve">por irregularidade na prestação dos serviços públicos de abastecimento de água e de esgotamento sanitário: multa, por infração, de 0,2% das tarifas arrecadadas no mês anterior ao da ocorrência da infração; </w:t>
      </w:r>
    </w:p>
    <w:p>
      <w:pPr>
        <w:pStyle w:val="style0"/>
        <w:numPr>
          <w:ilvl w:val="0"/>
          <w:numId w:val="17"/>
        </w:numPr>
        <w:ind w:hanging="360" w:left="10" w:right="-26"/>
        <w:rPr>
          <w:rFonts w:ascii="Arial" w:cs="Arial" w:hAnsi="Arial"/>
          <w:szCs w:val="24"/>
        </w:rPr>
      </w:pPr>
      <w:r>
        <w:rPr>
          <w:rFonts w:ascii="Arial" w:cs="Arial" w:hAnsi="Arial"/>
          <w:szCs w:val="24"/>
        </w:rPr>
        <w:t xml:space="preserve">por atraso na contratação ou renovação da garantia: multa, por infração, de 0,02%, por dia de atraso, das tarifas arrecadadas no mês anterior ao da ocorrência da infração; </w:t>
      </w:r>
    </w:p>
    <w:p>
      <w:pPr>
        <w:pStyle w:val="style0"/>
        <w:numPr>
          <w:ilvl w:val="0"/>
          <w:numId w:val="17"/>
        </w:numPr>
        <w:ind w:hanging="360" w:left="10" w:right="-26"/>
        <w:rPr>
          <w:rFonts w:ascii="Arial" w:cs="Arial" w:hAnsi="Arial"/>
          <w:szCs w:val="24"/>
        </w:rPr>
      </w:pPr>
      <w:r>
        <w:rPr>
          <w:rFonts w:ascii="Arial" w:cs="Arial" w:hAnsi="Arial"/>
          <w:szCs w:val="24"/>
        </w:rPr>
        <w:t xml:space="preserve">descumprimento do disposto no Plano Básico de Saneamento Básico: multa, por infração, de 0,5% das tarifas arrecadadas no mês anterior ao da ocorrência da infração; </w:t>
      </w:r>
    </w:p>
    <w:p>
      <w:pPr>
        <w:pStyle w:val="style0"/>
        <w:numPr>
          <w:ilvl w:val="0"/>
          <w:numId w:val="17"/>
        </w:numPr>
        <w:ind w:hanging="360" w:left="10" w:right="-26"/>
        <w:rPr>
          <w:rFonts w:ascii="Arial" w:cs="Arial" w:hAnsi="Arial"/>
          <w:szCs w:val="24"/>
        </w:rPr>
      </w:pPr>
      <w:r>
        <w:rPr>
          <w:rFonts w:ascii="Arial" w:cs="Arial" w:hAnsi="Arial"/>
          <w:szCs w:val="24"/>
        </w:rPr>
        <w:t xml:space="preserve">por atraso na obtenção das licenças, autorizações ou similares para a execução dos serviços públicos de abastecimento de água e de esgotamento sanitário, que estejam sob sua responsabilidade e nos termos do Anexo XI do Edital: multa, por dia de atraso, de 0,02% do valor das tarifas arrecadadas no mês anterior ao da ocorrência da infração; </w:t>
      </w:r>
    </w:p>
    <w:p>
      <w:pPr>
        <w:pStyle w:val="style0"/>
        <w:numPr>
          <w:ilvl w:val="0"/>
          <w:numId w:val="18"/>
        </w:numPr>
        <w:ind w:hanging="360" w:left="288" w:right="-26"/>
        <w:rPr>
          <w:rFonts w:ascii="Arial" w:cs="Arial" w:hAnsi="Arial"/>
          <w:szCs w:val="24"/>
        </w:rPr>
      </w:pPr>
      <w:r>
        <w:rPr>
          <w:rFonts w:ascii="Arial" w:cs="Arial" w:hAnsi="Arial"/>
          <w:szCs w:val="24"/>
        </w:rPr>
        <w:t xml:space="preserve">por atraso na contratação ou renovação dos seguros: multa, por dia de atraso, de 0,02% do valor das tarifas arrecadadas no mês anterior ao da ocorrência da infração; </w:t>
      </w:r>
    </w:p>
    <w:p>
      <w:pPr>
        <w:pStyle w:val="style0"/>
        <w:numPr>
          <w:ilvl w:val="0"/>
          <w:numId w:val="18"/>
        </w:numPr>
        <w:ind w:hanging="360" w:left="288" w:right="-26"/>
        <w:rPr>
          <w:rFonts w:ascii="Arial" w:cs="Arial" w:hAnsi="Arial"/>
          <w:szCs w:val="24"/>
        </w:rPr>
      </w:pPr>
      <w:r>
        <w:rPr>
          <w:rFonts w:ascii="Arial" w:cs="Arial" w:hAnsi="Arial"/>
          <w:szCs w:val="24"/>
        </w:rPr>
        <w:t xml:space="preserve">por impedir ou obstar a fiscalização: multa, por infração, de 2% do valor das tarifas arrecadadas no mês anterior ao da ocorrência da infração; </w:t>
      </w:r>
    </w:p>
    <w:p>
      <w:pPr>
        <w:pStyle w:val="style0"/>
        <w:numPr>
          <w:ilvl w:val="0"/>
          <w:numId w:val="18"/>
        </w:numPr>
        <w:ind w:hanging="360" w:left="288" w:right="-26"/>
        <w:rPr>
          <w:rFonts w:ascii="Arial" w:cs="Arial" w:hAnsi="Arial"/>
          <w:szCs w:val="24"/>
        </w:rPr>
      </w:pPr>
      <w:r>
        <w:rPr>
          <w:rFonts w:ascii="Arial" w:cs="Arial" w:hAnsi="Arial"/>
          <w:szCs w:val="24"/>
        </w:rPr>
        <w:t xml:space="preserve">pela suspensão injustificada dos serviços públicos de abastecimento de água e de esgotamento sanitário: por infração, multa de 0,5% do valor das tarifas arrecadadas no mês anterior ao da ocorrência da infração; </w:t>
      </w:r>
    </w:p>
    <w:p>
      <w:pPr>
        <w:pStyle w:val="style0"/>
        <w:numPr>
          <w:ilvl w:val="0"/>
          <w:numId w:val="18"/>
        </w:numPr>
        <w:ind w:hanging="360" w:left="288" w:right="-26"/>
        <w:rPr>
          <w:rFonts w:ascii="Arial" w:cs="Arial" w:hAnsi="Arial"/>
          <w:szCs w:val="24"/>
        </w:rPr>
      </w:pPr>
      <w:r>
        <w:rPr>
          <w:rFonts w:ascii="Arial" w:cs="Arial" w:hAnsi="Arial"/>
          <w:szCs w:val="24"/>
        </w:rPr>
        <w:t xml:space="preserve">por descumprimento dos demais encargos da concessionária, não abrangidos nas alíneas anteriores, sujeitará a Concessionária a multa, por infração, correspondente 0,02% do valor das tarifas arrecadadas no mês anterior ao da ocorrência da infração.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Em caso de um mesmo fato ensejar duas ou mais penalidades, será aplicada aquela penalidade mais grave.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O pagamento de qualquer multa fixada nos termos do disposto nesta cláusula dar-se-á através de desconto a ser efetuado, pela concessionária, na receita arrecadada com a cobrança da tarifa aos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As multas previstas nesta cláusula serão aplicadas sem prejuízo da caracterização das hipóteses de intervenção ou declaração de caducidade prevista no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A aplicação de multas a Concessionária não a isenta do dever de ressarcir os danos eventualmente tenham sido causados.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O processo de aplicação de penalidades tem início com a lavratura do Auto de Infração pela Agência de Regulação ou, na omissão desta, pelo Poder Concedente, que tipificará a infração cometida, para fins de aplicação da respectiva penalidade.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O Auto de Infração deverá indicar com precisão a falta cometida e a norma violada, e será lavrado em 2 (duas) vias, através de notificação entregue Concessionária sob protocolo.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A prática de múltiplas infrações pela Concessionária poderá ser apurada em um mesmo Auto de Infração, sendo permitida a acumulação de penalidades.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A Concessionária sofrerá penalidade atribuída em consonância com a natureza da infração.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No prazo de 30 (trinta) dias, contados do recebimento da notificação da penalidade, a Concessionária poderá apresentar sua defesa, que será apreciada pela Agência Reguladora ou pelo Poder Concedente, conforme o caso, sendo vedada qualquer anotação nos registros da Concessionária enquanto não houver a decisão final sobre a procedência da autuação.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A decisão proferida será devidamente fundamentada. </w:t>
      </w:r>
    </w:p>
    <w:p>
      <w:pPr>
        <w:pStyle w:val="style0"/>
        <w:ind w:hanging="0" w:left="0" w:right="-26"/>
        <w:rPr>
          <w:rFonts w:ascii="Arial" w:cs="Arial" w:hAnsi="Arial"/>
          <w:szCs w:val="24"/>
        </w:rPr>
      </w:pPr>
      <w:r>
        <w:rPr>
          <w:rFonts w:ascii="Arial" w:cs="Arial" w:hAnsi="Arial"/>
          <w:szCs w:val="24"/>
        </w:rPr>
      </w:r>
    </w:p>
    <w:p>
      <w:pPr>
        <w:pStyle w:val="style0"/>
        <w:numPr>
          <w:ilvl w:val="1"/>
          <w:numId w:val="19"/>
        </w:numPr>
        <w:ind w:hanging="360" w:left="1380" w:right="-26"/>
        <w:rPr>
          <w:rFonts w:ascii="Arial" w:cs="Arial" w:hAnsi="Arial"/>
          <w:szCs w:val="24"/>
        </w:rPr>
      </w:pPr>
      <w:r>
        <w:rPr>
          <w:rFonts w:ascii="Arial" w:cs="Arial" w:hAnsi="Arial"/>
          <w:szCs w:val="24"/>
        </w:rPr>
        <w:t xml:space="preserve">A Concessionária será formalmente notificada da decisão proferida em face da defesa apresentada, cabendo a interposição de recurso no prazo de 30 (trinta) dias, contados do recebimento da notificação.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19"/>
        </w:numPr>
        <w:ind w:hanging="360" w:left="1380" w:right="-26"/>
        <w:rPr>
          <w:rFonts w:ascii="Arial" w:cs="Arial" w:hAnsi="Arial"/>
          <w:szCs w:val="24"/>
        </w:rPr>
      </w:pPr>
      <w:r>
        <w:rPr>
          <w:rFonts w:ascii="Arial" w:cs="Arial" w:hAnsi="Arial"/>
          <w:szCs w:val="24"/>
        </w:rPr>
        <w:t xml:space="preserve">Mantido o Auto de Infração, a Concessionária será notificada a respeito, devendo a penalidade ser imposta em observância ao seguinte: </w:t>
      </w:r>
    </w:p>
    <w:p>
      <w:pPr>
        <w:pStyle w:val="style0"/>
        <w:numPr>
          <w:ilvl w:val="0"/>
          <w:numId w:val="20"/>
        </w:numPr>
        <w:ind w:hanging="360" w:left="247" w:right="-26"/>
        <w:rPr>
          <w:rFonts w:ascii="Arial" w:cs="Arial" w:hAnsi="Arial"/>
          <w:szCs w:val="24"/>
        </w:rPr>
      </w:pPr>
      <w:r>
        <w:rPr>
          <w:rFonts w:ascii="Arial" w:cs="Arial" w:hAnsi="Arial"/>
          <w:szCs w:val="24"/>
        </w:rPr>
        <w:t xml:space="preserve">no caso de advertência, será anotada nos registros da Concessionária junto ao Poder Concedente e a Agencia Reguladora; e </w:t>
      </w:r>
    </w:p>
    <w:p>
      <w:pPr>
        <w:pStyle w:val="style0"/>
        <w:numPr>
          <w:ilvl w:val="0"/>
          <w:numId w:val="20"/>
        </w:numPr>
        <w:ind w:hanging="360" w:left="247" w:right="-26"/>
        <w:rPr>
          <w:rFonts w:ascii="Arial" w:cs="Arial" w:hAnsi="Arial"/>
          <w:szCs w:val="24"/>
        </w:rPr>
      </w:pPr>
      <w:r>
        <w:rPr>
          <w:rFonts w:ascii="Arial" w:cs="Arial" w:hAnsi="Arial"/>
          <w:szCs w:val="24"/>
        </w:rPr>
        <w:t xml:space="preserve">em caso de multa pecuniária, a Concessionária deverá efetuar o pagamento dentro do prazo de 30 (trinta) dias, contados do recebimento da notificação da decisão, sendo que o não pagamento, no prazo estipulado, ensejará a possibilidade de utilização da garantia.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1"/>
        </w:numPr>
        <w:ind w:hanging="360" w:left="730" w:right="-26"/>
        <w:rPr>
          <w:rFonts w:ascii="Arial" w:cs="Arial" w:hAnsi="Arial"/>
          <w:szCs w:val="24"/>
        </w:rPr>
      </w:pPr>
      <w:r>
        <w:rPr>
          <w:rFonts w:ascii="Arial" w:cs="Arial" w:hAnsi="Arial"/>
          <w:szCs w:val="24"/>
        </w:rPr>
        <w:t xml:space="preserve">O simples pagamento da multa não eximirá a Concessionária da obrigação de sanar a falha ou irregularidade a que deu origem.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1"/>
        </w:numPr>
        <w:ind w:hanging="360" w:left="730" w:right="-26"/>
        <w:rPr>
          <w:rFonts w:ascii="Arial" w:cs="Arial" w:hAnsi="Arial"/>
          <w:szCs w:val="24"/>
        </w:rPr>
      </w:pPr>
      <w:r>
        <w:rPr>
          <w:rFonts w:ascii="Arial" w:cs="Arial" w:hAnsi="Arial"/>
          <w:szCs w:val="24"/>
        </w:rPr>
        <w:t xml:space="preserve">As importâncias pecuniárias resultantes da aplicação das multas previstas no Contrato reverterão em favor do Fundo Municipal de Saneamento Básico ou, na sua ausência, a Agência de Regulação, para a adoção de medidas socioeducativas em Caçador.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1"/>
        </w:numPr>
        <w:ind w:hanging="360" w:left="730" w:right="-26"/>
        <w:rPr>
          <w:rFonts w:ascii="Arial" w:cs="Arial" w:hAnsi="Arial"/>
          <w:szCs w:val="24"/>
        </w:rPr>
      </w:pPr>
      <w:r>
        <w:rPr>
          <w:rFonts w:ascii="Arial" w:cs="Arial" w:hAnsi="Arial"/>
          <w:szCs w:val="24"/>
        </w:rPr>
        <w:t xml:space="preserve">Os casos omissos serão regulados pelas normas de regulação expedidas pela Agência de Regulação e através da aplicação dos princípios gerais do Direito.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1"/>
        </w:numPr>
        <w:ind w:hanging="360" w:left="730" w:right="-26"/>
        <w:rPr>
          <w:rFonts w:ascii="Arial" w:cs="Arial" w:hAnsi="Arial"/>
          <w:szCs w:val="24"/>
        </w:rPr>
      </w:pPr>
      <w:r>
        <w:rPr>
          <w:rFonts w:ascii="Arial" w:cs="Arial" w:hAnsi="Arial"/>
          <w:szCs w:val="24"/>
        </w:rPr>
        <w:t xml:space="preserve">A aplicação das penalidades previstas neste Contrato e a sua execução não prejudicam a aplicação das penas cominadas, para o mesmo fato, pela legislação aplicável. </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r>
    </w:p>
    <w:p>
      <w:pPr>
        <w:pStyle w:val="style1"/>
        <w:ind w:hanging="0" w:left="0" w:right="-26"/>
        <w:rPr>
          <w:rFonts w:ascii="Arial" w:cs="Arial" w:hAnsi="Arial"/>
          <w:szCs w:val="24"/>
        </w:rPr>
      </w:pPr>
      <w:r>
        <w:rPr>
          <w:rFonts w:ascii="Arial" w:cs="Arial" w:hAnsi="Arial"/>
          <w:szCs w:val="24"/>
        </w:rPr>
        <w:t>Cláusula 35 - Extinção da Concessão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35.1. Extingue-se a concessão por: </w:t>
      </w:r>
    </w:p>
    <w:p>
      <w:pPr>
        <w:pStyle w:val="style0"/>
        <w:numPr>
          <w:ilvl w:val="0"/>
          <w:numId w:val="22"/>
        </w:numPr>
        <w:ind w:hanging="360" w:left="259" w:right="-26"/>
        <w:rPr>
          <w:rFonts w:ascii="Arial" w:cs="Arial" w:hAnsi="Arial"/>
          <w:szCs w:val="24"/>
        </w:rPr>
      </w:pPr>
      <w:r>
        <w:rPr>
          <w:rFonts w:ascii="Arial" w:cs="Arial" w:hAnsi="Arial"/>
          <w:szCs w:val="24"/>
        </w:rPr>
        <w:t xml:space="preserve">advento do termo contratual; </w:t>
      </w:r>
    </w:p>
    <w:p>
      <w:pPr>
        <w:pStyle w:val="style0"/>
        <w:numPr>
          <w:ilvl w:val="0"/>
          <w:numId w:val="22"/>
        </w:numPr>
        <w:ind w:hanging="360" w:left="259" w:right="-26"/>
        <w:rPr>
          <w:rFonts w:ascii="Arial" w:cs="Arial" w:hAnsi="Arial"/>
          <w:szCs w:val="24"/>
        </w:rPr>
      </w:pPr>
      <w:r>
        <w:rPr>
          <w:rFonts w:ascii="Arial" w:cs="Arial" w:hAnsi="Arial"/>
          <w:szCs w:val="24"/>
        </w:rPr>
        <w:t xml:space="preserve">encampação; </w:t>
      </w:r>
    </w:p>
    <w:p>
      <w:pPr>
        <w:pStyle w:val="style0"/>
        <w:numPr>
          <w:ilvl w:val="0"/>
          <w:numId w:val="22"/>
        </w:numPr>
        <w:ind w:hanging="360" w:left="259" w:right="-26"/>
        <w:rPr>
          <w:rFonts w:ascii="Arial" w:cs="Arial" w:hAnsi="Arial"/>
          <w:szCs w:val="24"/>
        </w:rPr>
      </w:pPr>
      <w:r>
        <w:rPr>
          <w:rFonts w:ascii="Arial" w:cs="Arial" w:hAnsi="Arial"/>
          <w:szCs w:val="24"/>
        </w:rPr>
        <w:t xml:space="preserve">caducidade; </w:t>
      </w:r>
    </w:p>
    <w:p>
      <w:pPr>
        <w:pStyle w:val="style0"/>
        <w:numPr>
          <w:ilvl w:val="0"/>
          <w:numId w:val="22"/>
        </w:numPr>
        <w:ind w:hanging="360" w:left="259" w:right="-26"/>
        <w:rPr>
          <w:rFonts w:ascii="Arial" w:cs="Arial" w:hAnsi="Arial"/>
          <w:szCs w:val="24"/>
        </w:rPr>
      </w:pPr>
      <w:r>
        <w:rPr>
          <w:rFonts w:ascii="Arial" w:cs="Arial" w:hAnsi="Arial"/>
          <w:szCs w:val="24"/>
        </w:rPr>
        <w:t xml:space="preserve">rescisão; </w:t>
      </w:r>
    </w:p>
    <w:p>
      <w:pPr>
        <w:pStyle w:val="style0"/>
        <w:numPr>
          <w:ilvl w:val="0"/>
          <w:numId w:val="22"/>
        </w:numPr>
        <w:ind w:hanging="360" w:left="259" w:right="-26"/>
        <w:rPr>
          <w:rFonts w:ascii="Arial" w:cs="Arial" w:hAnsi="Arial"/>
          <w:szCs w:val="24"/>
        </w:rPr>
      </w:pPr>
      <w:r>
        <w:rPr>
          <w:rFonts w:ascii="Arial" w:cs="Arial" w:hAnsi="Arial"/>
          <w:szCs w:val="24"/>
        </w:rPr>
        <w:t xml:space="preserve">anulação da concessão; </w:t>
      </w:r>
    </w:p>
    <w:p>
      <w:pPr>
        <w:pStyle w:val="style0"/>
        <w:numPr>
          <w:ilvl w:val="0"/>
          <w:numId w:val="22"/>
        </w:numPr>
        <w:ind w:hanging="360" w:left="259" w:right="-26"/>
        <w:rPr>
          <w:rFonts w:ascii="Arial" w:cs="Arial" w:hAnsi="Arial"/>
          <w:szCs w:val="24"/>
        </w:rPr>
      </w:pPr>
      <w:r>
        <w:rPr>
          <w:rFonts w:ascii="Arial" w:cs="Arial" w:hAnsi="Arial"/>
          <w:szCs w:val="24"/>
        </w:rPr>
        <w:t xml:space="preserve">falência ou extinção da empresa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3"/>
        </w:numPr>
        <w:ind w:hanging="360" w:left="730" w:right="-26"/>
        <w:rPr>
          <w:rFonts w:ascii="Arial" w:cs="Arial" w:hAnsi="Arial"/>
          <w:szCs w:val="24"/>
        </w:rPr>
      </w:pPr>
      <w:r>
        <w:rPr>
          <w:rFonts w:ascii="Arial" w:cs="Arial" w:hAnsi="Arial"/>
          <w:szCs w:val="24"/>
        </w:rPr>
        <w:t xml:space="preserve">Extinta a concessão, opera-se, de pleno direito, a reversão dos bens afetos ao serviço público de abastecimento de água e esgotamento sanitário, bem como as prerrogativas conferidas a Concessionária, pagando-se a mesma a respectiva indenização, relativamente aos bens incorporados a concessão, nos termos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3"/>
        </w:numPr>
        <w:ind w:hanging="360" w:left="730" w:right="-26"/>
        <w:rPr>
          <w:rFonts w:ascii="Arial" w:cs="Arial" w:hAnsi="Arial"/>
          <w:szCs w:val="24"/>
        </w:rPr>
      </w:pPr>
      <w:r>
        <w:rPr>
          <w:rFonts w:ascii="Arial" w:cs="Arial" w:hAnsi="Arial"/>
          <w:szCs w:val="24"/>
        </w:rPr>
        <w:t xml:space="preserve">Os bens afetos a Concessão serão revertidos ao Poder Concedente livres e desembaraçados de quaisquer ônus ou encargos, inclusive sociais e trabalhistas.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3"/>
        </w:numPr>
        <w:ind w:hanging="360" w:left="730" w:right="-26"/>
        <w:rPr>
          <w:rFonts w:ascii="Arial" w:cs="Arial" w:hAnsi="Arial"/>
          <w:szCs w:val="24"/>
        </w:rPr>
      </w:pPr>
      <w:r>
        <w:rPr>
          <w:rFonts w:ascii="Arial" w:cs="Arial" w:hAnsi="Arial"/>
          <w:szCs w:val="24"/>
        </w:rPr>
        <w:t xml:space="preserve">Revertidos os bens afetos a Concessão, haverá a imediata assunção do serviço público de abastecimento de água e esgotamento sanitário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3"/>
        </w:numPr>
        <w:ind w:hanging="360" w:left="730" w:right="-26"/>
        <w:rPr>
          <w:rFonts w:ascii="Arial" w:cs="Arial" w:hAnsi="Arial"/>
          <w:szCs w:val="24"/>
        </w:rPr>
      </w:pPr>
      <w:r>
        <w:rPr>
          <w:rFonts w:ascii="Arial" w:cs="Arial" w:hAnsi="Arial"/>
          <w:szCs w:val="24"/>
        </w:rPr>
        <w:t xml:space="preserve">Ocorrendo a extinção da Concessão, o Poder Concedente poderá, a seu exclusivo critério, assumir os contratos celebrados pela Concessionária, desde que necessários continuidade dos serviços públicos, incluindo-se os contratos de financiamento para execução de obras ou serviços previamente aprovados e que não comportem período de amortização superior ao prazo restante ao término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36 - Advento do Termo Contratual</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0"/>
        <w:ind w:hanging="0" w:left="0" w:right="-26"/>
        <w:rPr>
          <w:rFonts w:ascii="Arial" w:cs="Arial" w:hAnsi="Arial"/>
          <w:szCs w:val="24"/>
        </w:rPr>
      </w:pPr>
      <w:r>
        <w:rPr>
          <w:rFonts w:ascii="Arial" w:cs="Arial" w:hAnsi="Arial"/>
          <w:szCs w:val="24"/>
        </w:rPr>
        <w:t xml:space="preserve">36.1. O advento do termo final do contrato implica na extinção da concessão de pleno direito.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36.2. O Poder Concedente, antecipando-se a extinção da concessão, procederá aos levantamentos e avaliações necessários a determinação do montante da indenização eventualmente devida a Concessionária, nos termos das Cláusulas seguintes.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36.3. A indenização devida pelo Poder Concedente a Concessionária, no caso de ocorrência de extinção com base na ocorrência do advento do termo contratual, englobará os investimentos realizados com base nas propostas apresentadas pela licitante vencedora e segundo o plano de investimentos aprovado previamente pelo Poder Concedente, que ainda não tenham sido depreciados ou amortizados até a data de retomada dos serviços públicos de abastecimento de água e de esgotamento sanitário pelo Poder Concedente, corrigidos nos mesmos termos do reajuste, desde a data do investimento até a data do pagamento da indenização.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36.4. A indenização a que se refere esta Cláusula será paga até a data da assunção dos serviços públicos de abastecimento de Água e de esgotamento sanitário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37 - Encampação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37.1. A encampação é a retomada dos serviços pelo Poder Concedente durante o prazo da concessão, por motivo de interesse público, precedida de lei autorizativa especifica.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37.2. O Poder Concedente, previamente a encampação da Concessão, procederá aos levantamentos e avaliações necessários à determinação do montante da indenização eventualmente devida à Concessionária, nos termos dos itens seguintes.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37.3. Caso a Concessão venha a ser extinta por encampação, a indenização devida a Concessionária deverá ser paga previamente à reversão dos bens e a assunção dos serviços pelo Poder Concedente, nos termos do artigo 37 da Lei Federal nº 8.987/1995, e incluirá: </w:t>
      </w:r>
    </w:p>
    <w:p>
      <w:pPr>
        <w:pStyle w:val="style0"/>
        <w:numPr>
          <w:ilvl w:val="0"/>
          <w:numId w:val="24"/>
        </w:numPr>
        <w:ind w:hanging="360" w:left="10" w:right="-26"/>
        <w:rPr>
          <w:rFonts w:ascii="Arial" w:cs="Arial" w:hAnsi="Arial"/>
          <w:szCs w:val="24"/>
        </w:rPr>
      </w:pPr>
      <w:r>
        <w:rPr>
          <w:rFonts w:ascii="Arial" w:cs="Arial" w:hAnsi="Arial"/>
          <w:szCs w:val="24"/>
        </w:rPr>
        <w:t xml:space="preserve">os investimentos realizados pela Concessionária que ainda não estiverem depreciados ou amortizados, devidamente corrigidos monetariamente nos mesmos moldes aplicáveis ao reajuste; e </w:t>
      </w:r>
    </w:p>
    <w:p>
      <w:pPr>
        <w:pStyle w:val="style0"/>
        <w:numPr>
          <w:ilvl w:val="0"/>
          <w:numId w:val="24"/>
        </w:numPr>
        <w:ind w:hanging="360" w:left="10" w:right="-26"/>
        <w:rPr>
          <w:rFonts w:ascii="Arial" w:cs="Arial" w:hAnsi="Arial"/>
          <w:szCs w:val="24"/>
        </w:rPr>
      </w:pPr>
      <w:r>
        <w:rPr>
          <w:rFonts w:ascii="Arial" w:cs="Arial" w:hAnsi="Arial"/>
          <w:szCs w:val="24"/>
        </w:rPr>
        <w:t xml:space="preserve">os lucros cessantes calculados por empresa independente de consultoria especializada em avaliação de empresas e investimentos.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37.3.1. A empresa de consultoria especializada em avaliação de empresas e investimentos será paga pela Concessionária e escolhida pelo Poder Concedente, no prazo de 10 (dez) dias, contados da notificação de uma parte à outra, a partir de lista tríplice apresentada pela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5"/>
        </w:numPr>
        <w:ind w:hanging="360" w:left="730" w:right="-26"/>
        <w:rPr>
          <w:rFonts w:ascii="Arial" w:cs="Arial" w:hAnsi="Arial"/>
          <w:szCs w:val="24"/>
        </w:rPr>
      </w:pPr>
      <w:r>
        <w:rPr>
          <w:rFonts w:ascii="Arial" w:cs="Arial" w:hAnsi="Arial"/>
          <w:szCs w:val="24"/>
        </w:rPr>
        <w:t xml:space="preserve">A indenização a que se refere esta cláusula será paga previamente à assunções dos serviços públicos de abastecimento de água e de esgotamento sanitário, devidamente corrigida monetariamente nos mesmos moldes aplicáveis ao reajuste, desde a data do investimento até a data do pagamento da indenização.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5"/>
        </w:numPr>
        <w:ind w:hanging="360" w:left="730" w:right="-26"/>
        <w:rPr>
          <w:rFonts w:ascii="Arial" w:cs="Arial" w:hAnsi="Arial"/>
          <w:szCs w:val="24"/>
        </w:rPr>
      </w:pPr>
      <w:r>
        <w:rPr>
          <w:rFonts w:ascii="Arial" w:cs="Arial" w:hAnsi="Arial"/>
          <w:szCs w:val="24"/>
        </w:rPr>
        <w:t xml:space="preserve">Extinta a Concessão, por encampação, revertem-se todos os bens afetos a concessão, livres e desembaraçados de quaisquer ônus ou encargos, inclusive sociais e trabalhistas.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5"/>
        </w:numPr>
        <w:ind w:hanging="360" w:left="730" w:right="-26"/>
        <w:rPr>
          <w:rFonts w:ascii="Arial" w:cs="Arial" w:hAnsi="Arial"/>
          <w:szCs w:val="24"/>
        </w:rPr>
      </w:pPr>
      <w:r>
        <w:rPr>
          <w:rFonts w:ascii="Arial" w:cs="Arial" w:hAnsi="Arial"/>
          <w:szCs w:val="24"/>
        </w:rPr>
        <w:t xml:space="preserve">Paga a indenização devida à Concessionária e revertidos os bens afetos a concessão, haverá a imediata assunção dos serviços públicos de abastecimento de água e de esgotamento sanitário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38 - Caducidade</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38.1. A inexecução total ou parcial do Contrato acarretará, a critério do Poder Concedente, a declaração de caducidade da Concessão, independentemente da aplicação das sanções contratuais, respeitadas as disposições deste Contrato, especialmente desta cláusula.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38.2. A caducidade da Concessão, por ação ou omissão da Concessionária, poderá ser declarada quando ocorrer: </w:t>
      </w:r>
    </w:p>
    <w:p>
      <w:pPr>
        <w:pStyle w:val="style0"/>
        <w:numPr>
          <w:ilvl w:val="0"/>
          <w:numId w:val="26"/>
        </w:numPr>
        <w:ind w:hanging="360" w:left="386" w:right="-26"/>
        <w:rPr>
          <w:rFonts w:ascii="Arial" w:cs="Arial" w:hAnsi="Arial"/>
          <w:szCs w:val="24"/>
        </w:rPr>
      </w:pPr>
      <w:r>
        <w:rPr>
          <w:rFonts w:ascii="Arial" w:cs="Arial" w:hAnsi="Arial"/>
          <w:szCs w:val="24"/>
        </w:rPr>
        <w:t xml:space="preserve">a prestação dos serviços públicos de abastecimento de água e/ou de esgotamento sanitário de forma inadequada ou deficiente, tendo por base as normas, critérios, indicadores e parâmetros definidores da qualidade do serviço; </w:t>
      </w:r>
    </w:p>
    <w:p>
      <w:pPr>
        <w:pStyle w:val="style0"/>
        <w:numPr>
          <w:ilvl w:val="0"/>
          <w:numId w:val="26"/>
        </w:numPr>
        <w:ind w:hanging="360" w:left="386" w:right="-26"/>
        <w:rPr>
          <w:rFonts w:ascii="Arial" w:cs="Arial" w:hAnsi="Arial"/>
          <w:szCs w:val="24"/>
        </w:rPr>
      </w:pPr>
      <w:r>
        <w:rPr>
          <w:rFonts w:ascii="Arial" w:cs="Arial" w:hAnsi="Arial"/>
          <w:szCs w:val="24"/>
        </w:rPr>
        <w:t xml:space="preserve">descumprimento de cláusulas contratuais, disposições legais ou regulamentares concernentes a concessão; </w:t>
      </w:r>
    </w:p>
    <w:p>
      <w:pPr>
        <w:pStyle w:val="style0"/>
        <w:numPr>
          <w:ilvl w:val="0"/>
          <w:numId w:val="26"/>
        </w:numPr>
        <w:ind w:hanging="360" w:left="386" w:right="-26"/>
        <w:rPr>
          <w:rFonts w:ascii="Arial" w:cs="Arial" w:hAnsi="Arial"/>
          <w:szCs w:val="24"/>
        </w:rPr>
      </w:pPr>
      <w:r>
        <w:rPr>
          <w:rFonts w:ascii="Arial" w:cs="Arial" w:hAnsi="Arial"/>
          <w:szCs w:val="24"/>
        </w:rPr>
        <w:t xml:space="preserve">a paralisação dos serviços públicos de abastecimento de água e/ou de esgotamento sanitário ou concorrência para tanto, ressalvadas as hipóteses referidas neste Contrato e no regulamento de prestação dos serviços (Anexo IX); </w:t>
      </w:r>
    </w:p>
    <w:p>
      <w:pPr>
        <w:pStyle w:val="style0"/>
        <w:numPr>
          <w:ilvl w:val="0"/>
          <w:numId w:val="26"/>
        </w:numPr>
        <w:ind w:hanging="360" w:left="386" w:right="-26"/>
        <w:rPr>
          <w:rFonts w:ascii="Arial" w:cs="Arial" w:hAnsi="Arial"/>
          <w:szCs w:val="24"/>
        </w:rPr>
      </w:pPr>
      <w:r>
        <w:rPr>
          <w:rFonts w:ascii="Arial" w:cs="Arial" w:hAnsi="Arial"/>
          <w:szCs w:val="24"/>
        </w:rPr>
        <w:t xml:space="preserve">a perda das condições econômicas, técnicas ou operacionais da Concessionária para manter a adequada prestação dos serviços públicos de abastecimento de água e/ou de esgotamento sanitário; </w:t>
      </w:r>
    </w:p>
    <w:p>
      <w:pPr>
        <w:pStyle w:val="style0"/>
        <w:numPr>
          <w:ilvl w:val="0"/>
          <w:numId w:val="26"/>
        </w:numPr>
        <w:ind w:hanging="360" w:left="386" w:right="-26"/>
        <w:rPr>
          <w:rFonts w:ascii="Arial" w:cs="Arial" w:hAnsi="Arial"/>
          <w:szCs w:val="24"/>
        </w:rPr>
      </w:pPr>
      <w:r>
        <w:rPr>
          <w:rFonts w:ascii="Arial" w:cs="Arial" w:hAnsi="Arial"/>
          <w:szCs w:val="24"/>
        </w:rPr>
        <w:t xml:space="preserve">não cumprimento das penalidades impostas por infrações, nos devidos prazos; </w:t>
      </w:r>
    </w:p>
    <w:p>
      <w:pPr>
        <w:pStyle w:val="style0"/>
        <w:numPr>
          <w:ilvl w:val="0"/>
          <w:numId w:val="26"/>
        </w:numPr>
        <w:ind w:hanging="360" w:left="386" w:right="-26"/>
        <w:rPr>
          <w:rFonts w:ascii="Arial" w:cs="Arial" w:hAnsi="Arial"/>
          <w:szCs w:val="24"/>
        </w:rPr>
      </w:pPr>
      <w:r>
        <w:rPr>
          <w:rFonts w:ascii="Arial" w:cs="Arial" w:hAnsi="Arial"/>
          <w:szCs w:val="24"/>
        </w:rPr>
        <w:t xml:space="preserve">não atendimento a intimação do Poder Concedente, no sentido de regularizar a prestação dos serviços públicos de abastecimento de água e/ou de esgotamento sanitário e manutenção dos bens que integram a concessão; </w:t>
      </w:r>
    </w:p>
    <w:p>
      <w:pPr>
        <w:pStyle w:val="style0"/>
        <w:numPr>
          <w:ilvl w:val="0"/>
          <w:numId w:val="26"/>
        </w:numPr>
        <w:ind w:hanging="360" w:left="386" w:right="-26"/>
        <w:rPr>
          <w:rFonts w:ascii="Arial" w:cs="Arial" w:hAnsi="Arial"/>
          <w:szCs w:val="24"/>
        </w:rPr>
      </w:pPr>
      <w:r>
        <w:rPr>
          <w:rFonts w:ascii="Arial" w:cs="Arial" w:hAnsi="Arial"/>
          <w:szCs w:val="24"/>
        </w:rPr>
        <w:t xml:space="preserve">a não contratação ou não renovação da contratação dos seguros ou da garantia a que está obrigada, na forma deste Contrato; </w:t>
      </w:r>
    </w:p>
    <w:p>
      <w:pPr>
        <w:pStyle w:val="style0"/>
        <w:numPr>
          <w:ilvl w:val="0"/>
          <w:numId w:val="26"/>
        </w:numPr>
        <w:ind w:hanging="360" w:left="386" w:right="-26"/>
        <w:rPr>
          <w:rFonts w:ascii="Arial" w:cs="Arial" w:hAnsi="Arial"/>
          <w:szCs w:val="24"/>
        </w:rPr>
      </w:pPr>
      <w:r>
        <w:rPr>
          <w:rFonts w:ascii="Arial" w:cs="Arial" w:hAnsi="Arial"/>
          <w:szCs w:val="24"/>
        </w:rPr>
        <w:t xml:space="preserve">a condenação, em sentença transitada em julgado, por sonegação de tributos, inclusive contribuições sociais; </w:t>
      </w:r>
    </w:p>
    <w:p>
      <w:pPr>
        <w:pStyle w:val="style0"/>
        <w:numPr>
          <w:ilvl w:val="0"/>
          <w:numId w:val="26"/>
        </w:numPr>
        <w:ind w:hanging="360" w:left="386" w:right="-26"/>
        <w:rPr>
          <w:rFonts w:ascii="Arial" w:cs="Arial" w:hAnsi="Arial"/>
          <w:szCs w:val="24"/>
        </w:rPr>
      </w:pPr>
      <w:r>
        <w:rPr>
          <w:rFonts w:ascii="Arial" w:cs="Arial" w:hAnsi="Arial"/>
          <w:szCs w:val="24"/>
        </w:rPr>
        <w:t xml:space="preserve">alteração ou desvio de objeto da Concessionária; </w:t>
      </w:r>
    </w:p>
    <w:p>
      <w:pPr>
        <w:pStyle w:val="style0"/>
        <w:numPr>
          <w:ilvl w:val="0"/>
          <w:numId w:val="26"/>
        </w:numPr>
        <w:ind w:hanging="360" w:left="386" w:right="-26"/>
        <w:rPr>
          <w:rFonts w:ascii="Arial" w:cs="Arial" w:hAnsi="Arial"/>
          <w:szCs w:val="24"/>
        </w:rPr>
      </w:pPr>
      <w:r>
        <w:rPr>
          <w:rFonts w:ascii="Arial" w:cs="Arial" w:hAnsi="Arial"/>
          <w:szCs w:val="24"/>
        </w:rPr>
        <w:t xml:space="preserve">transferência da Concessão, sem prévia autorização do Poder Concedente; </w:t>
      </w:r>
    </w:p>
    <w:p>
      <w:pPr>
        <w:pStyle w:val="style0"/>
        <w:numPr>
          <w:ilvl w:val="0"/>
          <w:numId w:val="26"/>
        </w:numPr>
        <w:ind w:hanging="360" w:left="386" w:right="-26"/>
        <w:rPr>
          <w:rFonts w:ascii="Arial" w:cs="Arial" w:hAnsi="Arial"/>
          <w:szCs w:val="24"/>
        </w:rPr>
      </w:pPr>
      <w:r>
        <w:rPr>
          <w:rFonts w:ascii="Arial" w:cs="Arial" w:hAnsi="Arial"/>
          <w:szCs w:val="24"/>
        </w:rPr>
        <w:t xml:space="preserve">solicitação de autofalência ou requerimento de recuperação judicial pela </w:t>
      </w:r>
    </w:p>
    <w:p>
      <w:pPr>
        <w:pStyle w:val="style0"/>
        <w:ind w:hanging="0" w:left="0" w:right="-26"/>
        <w:rPr>
          <w:rFonts w:ascii="Arial" w:cs="Arial" w:hAnsi="Arial"/>
          <w:szCs w:val="24"/>
        </w:rPr>
      </w:pPr>
      <w:r>
        <w:rPr>
          <w:rFonts w:ascii="Arial" w:cs="Arial" w:hAnsi="Arial"/>
          <w:szCs w:val="24"/>
        </w:rPr>
        <w:t xml:space="preserve">Concessionária; </w:t>
      </w:r>
    </w:p>
    <w:p>
      <w:pPr>
        <w:pStyle w:val="style0"/>
        <w:numPr>
          <w:ilvl w:val="0"/>
          <w:numId w:val="26"/>
        </w:numPr>
        <w:ind w:hanging="360" w:left="386" w:right="-26"/>
        <w:rPr>
          <w:rFonts w:ascii="Arial" w:cs="Arial" w:hAnsi="Arial"/>
          <w:szCs w:val="24"/>
        </w:rPr>
      </w:pPr>
      <w:r>
        <w:rPr>
          <w:rFonts w:ascii="Arial" w:cs="Arial" w:hAnsi="Arial"/>
          <w:szCs w:val="24"/>
        </w:rPr>
        <w:t xml:space="preserve">execução de serviços e obras necessárias a adequada prestação dos serviços públicos de abastecimento de água e/ou de esgotamento sanitário em desconformidade com o regulamento da prestação do serviço e as normas reguladoras vigentes; </w:t>
      </w:r>
    </w:p>
    <w:p>
      <w:pPr>
        <w:pStyle w:val="style0"/>
        <w:numPr>
          <w:ilvl w:val="0"/>
          <w:numId w:val="26"/>
        </w:numPr>
        <w:ind w:hanging="360" w:left="386" w:right="-26"/>
        <w:rPr>
          <w:rFonts w:ascii="Arial" w:cs="Arial" w:hAnsi="Arial"/>
          <w:szCs w:val="24"/>
        </w:rPr>
      </w:pPr>
      <w:r>
        <w:rPr>
          <w:rFonts w:ascii="Arial" w:cs="Arial" w:hAnsi="Arial"/>
          <w:szCs w:val="24"/>
        </w:rPr>
        <w:t xml:space="preserve">descumprimento do memorial descritivo dos serviços e obras a serem executadas; e </w:t>
      </w:r>
    </w:p>
    <w:p>
      <w:pPr>
        <w:pStyle w:val="style0"/>
        <w:numPr>
          <w:ilvl w:val="0"/>
          <w:numId w:val="26"/>
        </w:numPr>
        <w:ind w:hanging="360" w:left="386" w:right="-26"/>
        <w:rPr>
          <w:rFonts w:ascii="Arial" w:cs="Arial" w:hAnsi="Arial"/>
          <w:szCs w:val="24"/>
        </w:rPr>
      </w:pPr>
      <w:r>
        <w:rPr>
          <w:rFonts w:ascii="Arial" w:cs="Arial" w:hAnsi="Arial"/>
          <w:szCs w:val="24"/>
        </w:rPr>
        <w:t xml:space="preserve">oposição ao exercício da fiscalização pelo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A declaração de caducidade da concessão deverá ser precedida da verificação da efetiva inadimplência da Concessionária em processo administrativo, assegurando-se a esta o direito ao contraditório e a ampla defesa.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Não será instaurado processo administrativo de inadimplência antes de a Concessionária ter sido previamente comunicada a respeito das infrações contratuais praticadas, devendo ser-lhe concedido prazo para corrigir as falhas e transgressões apontadas, observadas as condições previstas neste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Instaurado o processo administrativo, uma vez comprovada a inadimplência, a caducidade será declarada mediante Decreto editado pelo Prefeito Municipal, pagando-se a respectiva indenização.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No caso da extinção do Contrato por caducidade, a Concessionária fará jus ao recebimento da devida indenização, em que serão considerados os investimentos realizados pela Concessionária que ainda não tenham sido depreciados ou amortizados até a data de retomada dos serviços públicos de abastecimento de água e de esgotamento sanitário pelo Poder Concedente, devidamente corrigidos monetariamente nos mesmos moldes aplicáveis ao reajuste, desde a data do investimento até a data do pagamento da indenização.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Da indenização prevista no item 38.6 será descontado o montante das multas contratuais e dos danos causados pela Concessionária, no que eventualmente não seja coberto pela garantia.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A indenização deverá será paga mensalmente, até que haja sua plena quitação, com no mínimo 20% (vinte por cento) dos valores de receita tarifária recebidos pelo Poder Concedente ou por outra empresa que esteja prestando os serviços públicos de abastecimento de água e de esgotamento sanitário no Município.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O Poder Concedente deverá adotar todos os atos necessários para que a parcela de que trata o item 38.8, referente aos valores recebidos pelo Poder Concedente ou por terceiro pela prestação dos serviços públicos de abastecimento de água e de esgotamento sanitário, seja automaticamente repassada a Concessionária, através de conta centralizadora e especial em instituição bancária de sua livre escolha.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O Poder Concedente priorizará o pagamento da indenização de que trata este item em uma única vez, o que poderá se dar com recursos obtidos em eventual Licitação que vier a ser realizada para contratação da nova empresa Concessionária, nos termos do artigo 45 da Lei n. 8.987/1995.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27"/>
        </w:numPr>
        <w:ind w:hanging="360" w:left="730" w:right="-26"/>
        <w:rPr>
          <w:rFonts w:ascii="Arial" w:cs="Arial" w:hAnsi="Arial"/>
          <w:szCs w:val="24"/>
        </w:rPr>
      </w:pPr>
      <w:r>
        <w:rPr>
          <w:rFonts w:ascii="Arial" w:cs="Arial" w:hAnsi="Arial"/>
          <w:szCs w:val="24"/>
        </w:rPr>
        <w:t xml:space="preserve">A declaração de caducidade da concessão acarretará, ainda, para a Concessionária: </w:t>
      </w:r>
    </w:p>
    <w:p>
      <w:pPr>
        <w:pStyle w:val="style0"/>
        <w:numPr>
          <w:ilvl w:val="0"/>
          <w:numId w:val="28"/>
        </w:numPr>
        <w:ind w:hanging="360" w:left="246" w:right="-26"/>
        <w:rPr>
          <w:rFonts w:ascii="Arial" w:cs="Arial" w:hAnsi="Arial"/>
          <w:szCs w:val="24"/>
        </w:rPr>
      </w:pPr>
      <w:r>
        <w:rPr>
          <w:rFonts w:ascii="Arial" w:cs="Arial" w:hAnsi="Arial"/>
          <w:szCs w:val="24"/>
        </w:rPr>
        <w:t xml:space="preserve">a execução da garantia pelo Poder Concedente para ressarcimento de eventuais prejuízos causados pela Concessionária; </w:t>
      </w:r>
    </w:p>
    <w:p>
      <w:pPr>
        <w:pStyle w:val="style0"/>
        <w:numPr>
          <w:ilvl w:val="0"/>
          <w:numId w:val="28"/>
        </w:numPr>
        <w:ind w:hanging="360" w:left="246" w:right="-26"/>
        <w:rPr>
          <w:rFonts w:ascii="Arial" w:cs="Arial" w:hAnsi="Arial"/>
          <w:szCs w:val="24"/>
        </w:rPr>
      </w:pPr>
      <w:r>
        <w:rPr>
          <w:rFonts w:ascii="Arial" w:cs="Arial" w:hAnsi="Arial"/>
          <w:szCs w:val="24"/>
        </w:rPr>
        <w:t xml:space="preserve">retenção de eventuais créditos decorrentes deste Contrato, até o limite dos prejuízos causados ao Poder Concedente; </w:t>
      </w:r>
    </w:p>
    <w:p>
      <w:pPr>
        <w:pStyle w:val="style0"/>
        <w:numPr>
          <w:ilvl w:val="0"/>
          <w:numId w:val="28"/>
        </w:numPr>
        <w:ind w:hanging="360" w:left="246" w:right="-26"/>
        <w:rPr>
          <w:rFonts w:ascii="Arial" w:cs="Arial" w:hAnsi="Arial"/>
          <w:szCs w:val="24"/>
        </w:rPr>
      </w:pPr>
      <w:r>
        <w:rPr>
          <w:rFonts w:ascii="Arial" w:cs="Arial" w:hAnsi="Arial"/>
          <w:szCs w:val="24"/>
        </w:rPr>
        <w:t xml:space="preserve">a reversão imediata ao Poder Concedente dos bens afetos a concessão; </w:t>
      </w:r>
    </w:p>
    <w:p>
      <w:pPr>
        <w:pStyle w:val="style0"/>
        <w:numPr>
          <w:ilvl w:val="0"/>
          <w:numId w:val="28"/>
        </w:numPr>
        <w:ind w:hanging="360" w:left="246" w:right="-26"/>
        <w:rPr>
          <w:rFonts w:ascii="Arial" w:cs="Arial" w:hAnsi="Arial"/>
          <w:szCs w:val="24"/>
        </w:rPr>
      </w:pPr>
      <w:r>
        <w:rPr>
          <w:rFonts w:ascii="Arial" w:cs="Arial" w:hAnsi="Arial"/>
          <w:szCs w:val="24"/>
        </w:rPr>
        <w:t xml:space="preserve">a retomada imediata, pelo Poder Concedente, dos serviços públicos de abastecimento de água e de esgotamento sanitário. </w:t>
      </w:r>
    </w:p>
    <w:p>
      <w:pPr>
        <w:pStyle w:val="style0"/>
        <w:ind w:hanging="0" w:left="0" w:right="-26"/>
        <w:rPr>
          <w:rFonts w:ascii="Arial" w:cs="Arial" w:hAnsi="Arial"/>
          <w:szCs w:val="24"/>
        </w:rPr>
      </w:pPr>
      <w:r>
        <w:rPr>
          <w:rFonts w:ascii="Arial" w:cs="Arial" w:hAnsi="Arial"/>
          <w:szCs w:val="24"/>
        </w:rPr>
        <w:t xml:space="preserve">38.12. Declarada a caducidade, não resultará ao Poder Concedente qualquer espécie de responsabilidade em relação aos encargos, ônus, obrigações ou compromissos com terceiros, ou com empregados da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39 - Rescisão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39.1. A Concessionária poderá rescindir o Contrato no caso de descumprimento das normas contratuais pela outra parte, bem como na ocorrência de redução do escopo dos serviços, por parte do Poder Concedente. Caso não seja possível a rescisão amigável, poderá ser intentada ação judicial especialmente para este fim.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39.2. Na hipótese de rescisão do Contrato por inadimplemento contratual, ou pela redução do escopo dos serviços, nos termos desta Cláusula, a indenização deverá ser previamente paga pelo Poder Concedente a Concessionária, nos mesmos moldes da Encampação (Cláusula 37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39.3. A indenização a que se refere o item 39.2 será devidamente corrigida monetariamente nos mesmos moldes aplicáveis ao reajuste, desde a data do investimento até a data do pagamento integral do valor devido 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39.4. A indenização deverá ser paga mensalmente, até que haja sua plena quitação, com no mínimo 20% (vinte por cento) dos valores de receita tarifária recebidos pelo Poder Concedente ou por outra empresa que esteja prestando os serviços públicos de abastecimento de água e de esgotamento sanitário no Município.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39.5. O Poder Concedente deverá adotar todos os atos necessários para que a parcela de que trata o item 39.4, referente aos valores recebidos pelo Poder Concedente ou por terceiro pela prestação dos serviços públicos de abastecimento de 5gua e de esgotamento sanitário, seja automaticamente repassada a Concessionária, através de conta centralizadora e especial em instituição bancária de sua livre escolha.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39.6. O Poder Concedente priorizará o pagamento da indenização de que trata este item em uma única vez, o que poderá se dar com recursos obtidos em eventual licitação que vier a ser realizada para contratação da nova empresa Concessionária, nos termos do artigo 45 da Lei n. 8.987/1995.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40 - Anulação da Concessão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40.1. Em caso de anulação da concessão, por eventuais ilegalidades verificadas no Edital e seus anexos, na Licitação ou no Contrato e seus anexos será devida indenização pelo Poder Concedente a Concessionária, a ser paga de acordo com o disposto nos itens 37.3 e 37.3.1 da Cláusula 37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40.2. O Poder Concedente, no caso de anulação da concessão, procederá aos levantamentos e avaliações necessários a determinação do montante da indenização eventualmente devida a Concessionária, nos termos dos itens seguintes.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40.3. A indenização deverá será paga mensalmente, até que haja sua plena quitação, com no mínimo 20% (vinte por cento) dos valores de receita tarifária recebidos pelo Poder Concedente ou por outra empresa que esteja prestando os serviços públicos de abastecimento de água e de esgotamento sanitário no Município.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40.4. O Poder Concedente deverá adotar todos os atos necessários para que a parcela de que trata o item 40.3, referente aos valores recebidos pelo Poder Concedente ou por terceiro pela prestação dos serviços públicos de abastecimento de água e de esgotamento sanitário, seja automaticamente repassada a concessionária, através de conta centralizadora e especial em instituição bancária de sua livre escolha.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40.5. O Poder Concedente priorizará o pagamento da indenização de que trata este item em uma única vez, o que poderá se dar com recursos obtidos em eventual licitação que vier a ser realizada para contratação da nova empresa concessionária, nos termos do artigo 45 da Lei n. 8.987/1995.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41 - Falência ou Extinção da Concessionária</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41.1. A Concessão poderá ser extinta na ocorrência de decretação de falência da Concessionária ou de extinção da Concessionária.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41.2. Neste caso, a indenização devida pelo Poder Concedente será calculada tomando como base os investimentos realizados pela Concessionária que não se achem ainda totalmente amortizados ou depreciados no curso do Contrato, corrigido monetariamente nos mesmos moldes aplicáveis ao reajuste, desde a data do investimento até a data do pagamento integral do valor devido a concessionária, até que haja sua plena quitação.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41.3. A indenização deverá será paga mensalmente, até que haja sua plena quitação, com no mínimo 20% (vinte por cento) dos valores de receita tarifária recebidos pelo Poder Concedente ou por outra empresa que esteja prestando os serviços públicos de abastecimento de água e de esgotamento sanitário no Município.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41.4. O Poder Concedente deverá adotar todos os atos necessários para que a parcela de que trata o item 41.3, referente aos valores recebidos pelo Poder Concedente ou por terceiro pela prestação dos serviços públicos de abastecimento de água e de esgotamento sanitário, seja automaticamente repassada a concessionária, através de conta centralizadora e especial em instituição bancária de sua livre escolha.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41.5. O Poder Concedente priorizará o pagamento da indenização de que trata este item em uma única vez, o que poderá se dar com recursos obtidos em eventual licitação que vier a ser realizada para contratação da nova empresa concessionária, nos termos do artigo 45 da Lei n. 8.987/1995.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41.6. Na hipótese de dissolução ou liquidação da Concessionária, não poderá ser procedida a partilha do respectivo patrimônio social sem que o Poder Concedente ateste, mediante auto de vistoria, o estado em que se encontram os bens afetos a concessão que serão revertidos livres de ônus; ou sem que se efetue o pagamento das quantias devidas ao Poder Concedente, a título de indenização ou a qualquer outro título.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42 - Reversão dos Bens que Integram a Concessão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42.1. Na extinção da Concessão, todos os bens a ela afetos, recebidos, construídos ou adquiridos pela Concessionária e integrados diretamente a concessão reverterão automaticamente ao Poder Concedente, nas condições estabelecidas neste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42.2. Para os fins previstos no item 42.1 deste Contrato, obriga-se a Concessionária a entregar os bens ali referidos inteiramente livres e desembaraçados de quaisquer ônus ou encargos, devendo estar em condições normais de operacionalidade, utilização e manutenção, sem prejuízo do normal desgaste resultante do seu uso.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42.3. Na extinção da concessão, será promovida uma vistoria prévia dos bens afetos concessão, para os efeitos previstos neste Contrato, e lavrado um "Termo de Reversão dos Bens", com indicação detalhada do seu estado de conservação.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42.4. O "Termo de Reversão de Bens", referido no item 42.3 será apresentado ao Poder Concedente, que deverá se manifestar no prazo máximo de 30 (trinta) dias, ouvindo previamente a Agência Reguladora. Transcorrido este prazo sem que haja a manifestação do Poder Concedente, o "Termo de Reversão de Bens" reputar-se-á aceito.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42.5. Caso os bens afetos a concessão, quando de sua devolução ao Poder Concedente, não se encontrem em condições adequadas, observado o disposto nesta Cláusula, a Concessionária indenizará o Poder Concedente, no montante a ser calculado pela Agencia Regulação, assegurando-se o contraditório e a ampla defesa.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42.6. O Poder Concedente poderá, ainda, reter ou executar a garantia a seu exclusivo critério, no caso de se verificar, na vistoria, que os bens afetos a concessão encontram-se deteriorados em seu uso ou em sua conservação.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42.7. Caso o montante da garantia seja insuficiente para o cumprimento da obrigação prevista no item 42.5, o Poder Concedente poderá descontar seus créditos do valor da indenização devida a Concessionária, por força da extinção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42.8. Os investimentos realizados, os valores amortizados, a depreciação e os respectivos saldos serão anualmente auditados e certificados pela Agência de Regulação, que manterá relação de bens reversíveis atualizada durante a vigência do Contrato de Concessão, dando ciência ao Poder Concedente e a Concessionária. </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r>
    </w:p>
    <w:p>
      <w:pPr>
        <w:pStyle w:val="style1"/>
        <w:ind w:hanging="0" w:left="0" w:right="-26"/>
        <w:rPr>
          <w:rFonts w:ascii="Arial" w:cs="Arial" w:hAnsi="Arial"/>
          <w:szCs w:val="24"/>
        </w:rPr>
      </w:pPr>
      <w:r>
        <w:rPr>
          <w:rFonts w:ascii="Arial" w:cs="Arial" w:hAnsi="Arial"/>
          <w:szCs w:val="24"/>
        </w:rPr>
        <w:t>Cláusula 43 - Causas Justificadoras da Inexecução</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0"/>
        <w:ind w:hanging="0" w:left="0" w:right="-26"/>
        <w:rPr>
          <w:rFonts w:ascii="Arial" w:cs="Arial" w:hAnsi="Arial"/>
          <w:szCs w:val="24"/>
        </w:rPr>
      </w:pPr>
      <w:r>
        <w:rPr>
          <w:rFonts w:ascii="Arial" w:cs="Arial" w:hAnsi="Arial"/>
          <w:szCs w:val="24"/>
        </w:rPr>
        <w:t xml:space="preserve">43.1. No caso de inexecução total ou parcial deste Contrato, decorrente diretamente de força maior, caso fortuito, fato do príncipe, ato da administração ou de interferências imprevistas, que retardem ou impeçam o cumprimento deste Contrato, devidamente justificados e aceitos pelo Poder Concedente, ficará a Concessionária exonerada de responsabilidade pelo atraso no cumprimento do cronograma de obras e serviços e das demais obrigações oriundas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43.2. Para fins do disposto no item anterior, considera-se: </w:t>
      </w:r>
    </w:p>
    <w:p>
      <w:pPr>
        <w:pStyle w:val="style0"/>
        <w:numPr>
          <w:ilvl w:val="0"/>
          <w:numId w:val="29"/>
        </w:numPr>
        <w:ind w:hanging="360" w:left="10" w:right="-26"/>
        <w:rPr>
          <w:rFonts w:ascii="Arial" w:cs="Arial" w:hAnsi="Arial"/>
          <w:szCs w:val="24"/>
        </w:rPr>
      </w:pPr>
      <w:r>
        <w:rPr>
          <w:rFonts w:ascii="Arial" w:cs="Arial" w:hAnsi="Arial"/>
          <w:szCs w:val="24"/>
        </w:rPr>
        <w:t xml:space="preserve">força maior: o evento humano que, por sua imprevisibilidade e/ou inevitabilidade, cria óbice intransponível para a Concessionária na execução deste Contrato, consubstanciado em ato superveniente impeditivo de cumprimento das obrigações assumidas; </w:t>
      </w:r>
    </w:p>
    <w:p>
      <w:pPr>
        <w:pStyle w:val="style0"/>
        <w:numPr>
          <w:ilvl w:val="0"/>
          <w:numId w:val="29"/>
        </w:numPr>
        <w:ind w:hanging="360" w:left="10" w:right="-26"/>
        <w:rPr>
          <w:rFonts w:ascii="Arial" w:cs="Arial" w:hAnsi="Arial"/>
          <w:szCs w:val="24"/>
        </w:rPr>
      </w:pPr>
      <w:r>
        <w:rPr>
          <w:rFonts w:ascii="Arial" w:cs="Arial" w:hAnsi="Arial"/>
          <w:szCs w:val="24"/>
        </w:rPr>
        <w:t xml:space="preserve">caso fortuito: o evento da natureza que, por sua imprevisibilidade e/ou inevitabilidade, gera obstáculo intransponível para a Concessionária no cumprimento deste Contrato; </w:t>
      </w:r>
    </w:p>
    <w:p>
      <w:pPr>
        <w:pStyle w:val="style0"/>
        <w:numPr>
          <w:ilvl w:val="0"/>
          <w:numId w:val="29"/>
        </w:numPr>
        <w:ind w:hanging="360" w:left="10" w:right="-26"/>
        <w:rPr>
          <w:rFonts w:ascii="Arial" w:cs="Arial" w:hAnsi="Arial"/>
          <w:szCs w:val="24"/>
        </w:rPr>
      </w:pPr>
      <w:r>
        <w:rPr>
          <w:rFonts w:ascii="Arial" w:cs="Arial" w:hAnsi="Arial"/>
          <w:szCs w:val="24"/>
        </w:rPr>
        <w:t xml:space="preserve">fato do príncipe: toda determinação estatal, geral, imprevista e imprevisível, positiva ou negativa, que onera substancialmente a execução deste Contrato; </w:t>
      </w:r>
    </w:p>
    <w:p>
      <w:pPr>
        <w:pStyle w:val="style0"/>
        <w:numPr>
          <w:ilvl w:val="0"/>
          <w:numId w:val="29"/>
        </w:numPr>
        <w:ind w:hanging="360" w:left="10" w:right="-26"/>
        <w:rPr>
          <w:rFonts w:ascii="Arial" w:cs="Arial" w:hAnsi="Arial"/>
          <w:szCs w:val="24"/>
        </w:rPr>
      </w:pPr>
      <w:r>
        <w:rPr>
          <w:rFonts w:ascii="Arial" w:cs="Arial" w:hAnsi="Arial"/>
          <w:szCs w:val="24"/>
        </w:rPr>
        <w:t xml:space="preserve">ato da Administração: toda ação ou omissão de órgão da Administração Pública que, incidindo direta e especificamente sobre este Contrato, retarda, agrava ou impede a sua execução pela Concessionária, ensejando, ainda, as indenizações correspondentes; </w:t>
      </w:r>
    </w:p>
    <w:p>
      <w:pPr>
        <w:pStyle w:val="style0"/>
        <w:numPr>
          <w:ilvl w:val="0"/>
          <w:numId w:val="29"/>
        </w:numPr>
        <w:ind w:hanging="360" w:left="10" w:right="-26"/>
        <w:rPr>
          <w:rFonts w:ascii="Arial" w:cs="Arial" w:hAnsi="Arial"/>
          <w:szCs w:val="24"/>
        </w:rPr>
      </w:pPr>
      <w:r>
        <w:rPr>
          <w:rFonts w:ascii="Arial" w:cs="Arial" w:hAnsi="Arial"/>
          <w:szCs w:val="24"/>
        </w:rPr>
        <w:t xml:space="preserve">interferências imprevistas: são ocorrências materiais não cogitadas pelas partes quando da celebração deste Contrato, mas que surgem no decorrer de sua execução de modo surpreendente e excepcional, dificultando ou onerando extraordinariamente o prosseguimento e a conclusão dos trabalhos, consubstanciada pela descoberta superveniente de obstáculos materiais, naturais ou artificiais, depois de iniciada a execução deste Contrato, embora sua existência seja anterior à data de assinatura do Contrato, mas só revelada por intermédio das obras ou serviços em andamento, dada a sua omissão nas sondagens ou a sua imprevisibilidade em circunstâncias comuns de trabalho.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43.3. Não se caracteriza, ainda, como descontinuidade do serviço a sua interrupção pela Concessionária nas seguintes hipóteses: </w:t>
      </w:r>
    </w:p>
    <w:p>
      <w:pPr>
        <w:pStyle w:val="style0"/>
        <w:numPr>
          <w:ilvl w:val="0"/>
          <w:numId w:val="30"/>
        </w:numPr>
        <w:ind w:hanging="360" w:left="259" w:right="-26"/>
        <w:rPr>
          <w:rFonts w:ascii="Arial" w:cs="Arial" w:hAnsi="Arial"/>
          <w:szCs w:val="24"/>
        </w:rPr>
      </w:pPr>
      <w:r>
        <w:rPr>
          <w:rFonts w:ascii="Arial" w:cs="Arial" w:hAnsi="Arial"/>
          <w:szCs w:val="24"/>
        </w:rPr>
        <w:t xml:space="preserve">quando houver necessidade de efetuar reparos, modificações ou melhoria de qualquer natureza no sistema; </w:t>
      </w:r>
    </w:p>
    <w:p>
      <w:pPr>
        <w:pStyle w:val="style0"/>
        <w:numPr>
          <w:ilvl w:val="0"/>
          <w:numId w:val="30"/>
        </w:numPr>
        <w:ind w:hanging="360" w:left="259" w:right="-26"/>
        <w:rPr>
          <w:rFonts w:ascii="Arial" w:cs="Arial" w:hAnsi="Arial"/>
          <w:szCs w:val="24"/>
        </w:rPr>
      </w:pPr>
      <w:r>
        <w:rPr>
          <w:rFonts w:ascii="Arial" w:cs="Arial" w:hAnsi="Arial"/>
          <w:szCs w:val="24"/>
        </w:rPr>
        <w:t xml:space="preserve">caso haja comprometimento da segurança de instalações ou de pessoas; ou </w:t>
      </w:r>
    </w:p>
    <w:p>
      <w:pPr>
        <w:pStyle w:val="style0"/>
        <w:numPr>
          <w:ilvl w:val="0"/>
          <w:numId w:val="30"/>
        </w:numPr>
        <w:ind w:hanging="360" w:left="259" w:right="-26"/>
        <w:rPr>
          <w:rFonts w:ascii="Arial" w:cs="Arial" w:hAnsi="Arial"/>
          <w:szCs w:val="24"/>
        </w:rPr>
      </w:pPr>
      <w:r>
        <w:rPr>
          <w:rFonts w:ascii="Arial" w:cs="Arial" w:hAnsi="Arial"/>
          <w:szCs w:val="24"/>
        </w:rPr>
        <w:t xml:space="preserve">de inadimplemento do usuário, após comunicação por escrito nesse sentido, nos termos da Lei n. 11.445/2007 e das normas de regulação expedidas pela Agencia de Regulação.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1"/>
        </w:numPr>
        <w:ind w:hanging="360" w:left="730" w:right="-26"/>
        <w:rPr>
          <w:rFonts w:ascii="Arial" w:cs="Arial" w:hAnsi="Arial"/>
          <w:szCs w:val="24"/>
        </w:rPr>
      </w:pPr>
      <w:r>
        <w:rPr>
          <w:rFonts w:ascii="Arial" w:cs="Arial" w:hAnsi="Arial"/>
          <w:szCs w:val="24"/>
        </w:rPr>
        <w:t xml:space="preserve">A ocorrência de quaisquer dos eventos previstos no item 43.2 desta Clausula deverá ser imediatamente comunicada pela Concessionária ao Poder Concedente e Agência de Regulação, informando as medidas que estiverem sendo adotadas para reduzir ou superar os impactos deles decorrentes.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1"/>
        </w:numPr>
        <w:ind w:hanging="360" w:left="730" w:right="-26"/>
        <w:rPr>
          <w:rFonts w:ascii="Arial" w:cs="Arial" w:hAnsi="Arial"/>
          <w:szCs w:val="24"/>
        </w:rPr>
      </w:pPr>
      <w:r>
        <w:rPr>
          <w:rFonts w:ascii="Arial" w:cs="Arial" w:hAnsi="Arial"/>
          <w:szCs w:val="24"/>
        </w:rPr>
        <w:t xml:space="preserve">Cabe a Concessionária, em qualquer uma das hipóteses comentadas nesta Cláusula, adotar as providências cabíveis no sentido de reduzir a descontinuidade do serviço ao prazo mínimo necessário, sujeito a fiscalização dos órgãos responsáveis.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1"/>
        </w:numPr>
        <w:ind w:hanging="360" w:left="730" w:right="-26"/>
        <w:rPr>
          <w:rFonts w:ascii="Arial" w:cs="Arial" w:hAnsi="Arial"/>
          <w:szCs w:val="24"/>
        </w:rPr>
      </w:pPr>
      <w:r>
        <w:rPr>
          <w:rFonts w:ascii="Arial" w:cs="Arial" w:hAnsi="Arial"/>
          <w:szCs w:val="24"/>
        </w:rPr>
        <w:t xml:space="preserve">Nos casos de interrupções programadas, com base na alínea "a" do item 43.3 desta Cláusula, a Concessionária deverá comunicar o fato, previamente, ao Poder Concedente, Agencia Reguladora e aos Usuários.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1"/>
        </w:numPr>
        <w:ind w:hanging="360" w:left="730" w:right="-26"/>
        <w:rPr>
          <w:rFonts w:ascii="Arial" w:cs="Arial" w:hAnsi="Arial"/>
          <w:szCs w:val="24"/>
        </w:rPr>
      </w:pPr>
      <w:r>
        <w:rPr>
          <w:rFonts w:ascii="Arial" w:cs="Arial" w:hAnsi="Arial"/>
          <w:szCs w:val="24"/>
        </w:rPr>
        <w:t xml:space="preserve">Nos casos das alíneas "c" do item 43.3 desta cláusula, a interrupção do serviço deverá ser efetuada pela Concessionária, após prévio aviso enviado ao usuário com antecedência mínima de 30 (trinta) dias da data prevista para referida interrupção.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1"/>
        </w:numPr>
        <w:ind w:hanging="360" w:left="730" w:right="-26"/>
        <w:rPr>
          <w:rFonts w:ascii="Arial" w:cs="Arial" w:hAnsi="Arial"/>
          <w:szCs w:val="24"/>
        </w:rPr>
      </w:pPr>
      <w:r>
        <w:rPr>
          <w:rFonts w:ascii="Arial" w:cs="Arial" w:hAnsi="Arial"/>
          <w:szCs w:val="24"/>
        </w:rPr>
        <w:t xml:space="preserve">Ocorrendo quaisquer dos fatos mencionados no item 43.2 desta Cláusula, o Poder Concedente e a Concessionária acordarão, ouvida previamente a Agencia Reguladora, acerca da recomposição do equilíbrio econômico-financeiro do Contrato ou da extinção da Concessão, caso a impossibilidade de cumprimento deste Contrato se tome definitiva ou a recomposição do equilíbrio econômico-financeiro revele-se excessivamente onerosa para o Poder Concedente.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1"/>
        </w:numPr>
        <w:ind w:hanging="360" w:left="730" w:right="-26"/>
        <w:rPr>
          <w:rFonts w:ascii="Arial" w:cs="Arial" w:hAnsi="Arial"/>
          <w:szCs w:val="24"/>
        </w:rPr>
      </w:pPr>
      <w:r>
        <w:rPr>
          <w:rFonts w:ascii="Arial" w:cs="Arial" w:hAnsi="Arial"/>
          <w:szCs w:val="24"/>
        </w:rPr>
        <w:t xml:space="preserve">No caso de extinção da concessão, em virtude da impossibilidade de cumprimento deste Contrato a que se refere o item 43.8 desta Cláusula, as partes acordarão acerca do pagamento da indenização devida a Concessionária, em até 30 (trinta) dias contados da data da extinção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43.9.1. Se as partes não chegarem a um acordo no prazo referido acima, para fins de pagamento da indenização devida pelo Poder Concedente a Concessionária, aplicar-se-á o disposto na Cláusula 38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43.10. O Poder Concedente priorizará o pagamento da indenização de que trata este item em uma única vez, o que poderá se dar com recursos obtidos em eventual Licitação que vier a ser realizada para contratação da nova empresa Concessionária, nos termos do artigo 45 da Lei n. 8.987/1995.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1"/>
        <w:ind w:hanging="0" w:left="0" w:right="-26"/>
        <w:rPr>
          <w:rFonts w:ascii="Arial" w:cs="Arial" w:hAnsi="Arial"/>
          <w:szCs w:val="24"/>
        </w:rPr>
      </w:pPr>
      <w:r>
        <w:rPr>
          <w:rFonts w:ascii="Arial" w:cs="Arial" w:hAnsi="Arial"/>
          <w:szCs w:val="24"/>
        </w:rPr>
        <w:t>Cláusula 44 - Da Prestação de Contas pela Concessionária</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44.1. A Concessionária prestará contas anualmente ao Poder Concedente e a Agência Reguladora da prestação dos serviços públicos de abastecimento de água e de esgotamento sanitário, mediante apresentação de: </w:t>
      </w:r>
    </w:p>
    <w:p>
      <w:pPr>
        <w:pStyle w:val="style0"/>
        <w:ind w:hanging="0" w:left="0" w:right="-26"/>
        <w:rPr>
          <w:rFonts w:ascii="Arial" w:cs="Arial" w:hAnsi="Arial"/>
          <w:szCs w:val="24"/>
        </w:rPr>
      </w:pPr>
      <w:r>
        <w:rPr>
          <w:rFonts w:ascii="Arial" w:cs="Arial" w:hAnsi="Arial"/>
          <w:szCs w:val="24"/>
        </w:rPr>
        <w:t xml:space="preserve">I- relatórios, expedidos na forma a ser estabelecida pela Agência Reguladora e segundo as prescrições legais e regulamentares especificas, relativos: </w:t>
      </w:r>
    </w:p>
    <w:p>
      <w:pPr>
        <w:pStyle w:val="style0"/>
        <w:numPr>
          <w:ilvl w:val="0"/>
          <w:numId w:val="32"/>
        </w:numPr>
        <w:ind w:hanging="360" w:left="246" w:right="-26"/>
        <w:rPr>
          <w:rFonts w:ascii="Arial" w:cs="Arial" w:hAnsi="Arial"/>
          <w:szCs w:val="24"/>
        </w:rPr>
      </w:pPr>
      <w:r>
        <w:rPr>
          <w:rFonts w:ascii="Arial" w:cs="Arial" w:hAnsi="Arial"/>
          <w:szCs w:val="24"/>
        </w:rPr>
        <w:t xml:space="preserve">a execução dos estudos, projetos e obras previstos no Plano Municipal de Saneamento Básico; </w:t>
      </w:r>
    </w:p>
    <w:p>
      <w:pPr>
        <w:pStyle w:val="style0"/>
        <w:numPr>
          <w:ilvl w:val="0"/>
          <w:numId w:val="32"/>
        </w:numPr>
        <w:ind w:hanging="360" w:left="246" w:right="-26"/>
        <w:rPr>
          <w:rFonts w:ascii="Arial" w:cs="Arial" w:hAnsi="Arial"/>
          <w:szCs w:val="24"/>
        </w:rPr>
      </w:pPr>
      <w:r>
        <w:rPr>
          <w:rFonts w:ascii="Arial" w:cs="Arial" w:hAnsi="Arial"/>
          <w:szCs w:val="24"/>
        </w:rPr>
        <w:t xml:space="preserve">ao desempenho operacional da concessão que contenha informações especificas sobre os níveis de regularidade, continuidade, eficiência, segurança, atualidade, generalidade, cortesia na prestação dos serviços públicos de abastecimento de água e de esgotamento sanitário e modicidade das tarifas; </w:t>
      </w:r>
    </w:p>
    <w:p>
      <w:pPr>
        <w:pStyle w:val="style0"/>
        <w:numPr>
          <w:ilvl w:val="0"/>
          <w:numId w:val="32"/>
        </w:numPr>
        <w:ind w:hanging="360" w:left="246" w:right="-26"/>
        <w:rPr>
          <w:rFonts w:ascii="Arial" w:cs="Arial" w:hAnsi="Arial"/>
          <w:szCs w:val="24"/>
        </w:rPr>
      </w:pPr>
      <w:r>
        <w:rPr>
          <w:rFonts w:ascii="Arial" w:cs="Arial" w:hAnsi="Arial"/>
          <w:szCs w:val="24"/>
        </w:rPr>
        <w:t xml:space="preserve">ao registro e inventário dos bens afetos a concessão; </w:t>
      </w:r>
    </w:p>
    <w:p>
      <w:pPr>
        <w:pStyle w:val="style0"/>
        <w:numPr>
          <w:ilvl w:val="0"/>
          <w:numId w:val="32"/>
        </w:numPr>
        <w:ind w:hanging="360" w:left="246" w:right="-26"/>
        <w:rPr>
          <w:rFonts w:ascii="Arial" w:cs="Arial" w:hAnsi="Arial"/>
          <w:szCs w:val="24"/>
        </w:rPr>
      </w:pPr>
      <w:r>
        <w:rPr>
          <w:rFonts w:ascii="Arial" w:cs="Arial" w:hAnsi="Arial"/>
          <w:szCs w:val="24"/>
        </w:rPr>
        <w:t xml:space="preserve">as receitas tarifárias, por faixas de consumo e não tarifárias; e as despesas diretas e indiretas; </w:t>
      </w:r>
    </w:p>
    <w:p>
      <w:pPr>
        <w:pStyle w:val="style0"/>
        <w:numPr>
          <w:ilvl w:val="0"/>
          <w:numId w:val="32"/>
        </w:numPr>
        <w:ind w:hanging="360" w:left="246" w:right="-26"/>
        <w:rPr>
          <w:rFonts w:ascii="Arial" w:cs="Arial" w:hAnsi="Arial"/>
          <w:szCs w:val="24"/>
        </w:rPr>
      </w:pPr>
      <w:r>
        <w:rPr>
          <w:rFonts w:ascii="Arial" w:cs="Arial" w:hAnsi="Arial"/>
          <w:szCs w:val="24"/>
        </w:rPr>
        <w:t xml:space="preserve">ao desempenho operacional. </w:t>
      </w:r>
    </w:p>
    <w:p>
      <w:pPr>
        <w:pStyle w:val="style0"/>
        <w:ind w:hanging="0" w:left="0" w:right="-26"/>
        <w:rPr>
          <w:rFonts w:ascii="Arial" w:cs="Arial" w:hAnsi="Arial"/>
          <w:szCs w:val="24"/>
        </w:rPr>
      </w:pPr>
      <w:r>
        <w:rPr>
          <w:rFonts w:ascii="Arial" w:cs="Arial" w:hAnsi="Arial"/>
          <w:szCs w:val="24"/>
        </w:rPr>
        <w:t xml:space="preserve">II- demonstrações financeiras da Concessionária na forma estabelecida na Lei n. 6.404/1964, publicadas em jornal de grande circulação e cópia da ata da Assembleia Geral Ordinária que deliberar sobre as mesmas.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45 - Cessão, Oneração e Alienação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45.1. É vedado a Concessionária, sob pena de declaração de caducidade da Concessão, ceder, alienar ou de qualquer modo onerar, no todo ou em parte, os bens diretamente afetos a Concessão, ou realizar qualquer negócio jurídico que vise a atingir idênticos objetivos, sendo nulo qualquer ato praticado em violação ao disposto nesta Cláusula, sem prejuízo da Concessionária proceder ao que estabelece o artigo 28 da Lei n.8.987/95.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46 - Proteção Ambiental</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46.1. A Concessionária obriga-se a cumprir o disposto na legislação vigente relativa as normas de proteção ambiental.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46.2. A Concessionária apresentará os seguintes relatórios a Agência Reguladora e ao Poder Concedente: </w:t>
      </w:r>
    </w:p>
    <w:p>
      <w:pPr>
        <w:pStyle w:val="style0"/>
        <w:numPr>
          <w:ilvl w:val="0"/>
          <w:numId w:val="33"/>
        </w:numPr>
        <w:ind w:hanging="360" w:left="10" w:right="-26"/>
        <w:rPr>
          <w:rFonts w:ascii="Arial" w:cs="Arial" w:hAnsi="Arial"/>
          <w:szCs w:val="24"/>
        </w:rPr>
      </w:pPr>
      <w:r>
        <w:rPr>
          <w:rFonts w:ascii="Arial" w:cs="Arial" w:hAnsi="Arial"/>
          <w:szCs w:val="24"/>
        </w:rPr>
        <w:t xml:space="preserve">os impactos ambientais provocados em decorrência das obras e serviços implantados;  </w:t>
      </w:r>
    </w:p>
    <w:p>
      <w:pPr>
        <w:pStyle w:val="style0"/>
        <w:numPr>
          <w:ilvl w:val="0"/>
          <w:numId w:val="33"/>
        </w:numPr>
        <w:ind w:hanging="360" w:left="10" w:right="-26"/>
        <w:rPr>
          <w:rFonts w:ascii="Arial" w:cs="Arial" w:hAnsi="Arial"/>
          <w:szCs w:val="24"/>
        </w:rPr>
      </w:pPr>
      <w:r>
        <w:rPr>
          <w:rFonts w:ascii="Arial" w:cs="Arial" w:hAnsi="Arial"/>
          <w:szCs w:val="24"/>
        </w:rPr>
        <w:t xml:space="preserve">as ações adotadas para mitigar ou compensar os efeitos dos impactos ambientais provocados;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4"/>
        </w:numPr>
        <w:ind w:hanging="360" w:left="730" w:right="-26"/>
        <w:rPr>
          <w:rFonts w:ascii="Arial" w:cs="Arial" w:hAnsi="Arial"/>
          <w:szCs w:val="24"/>
        </w:rPr>
      </w:pPr>
      <w:r>
        <w:rPr>
          <w:rFonts w:ascii="Arial" w:cs="Arial" w:hAnsi="Arial"/>
          <w:szCs w:val="24"/>
        </w:rPr>
        <w:t xml:space="preserve">O Poder Concedente poderá solicitar que a Concessionária, no curso do período da concessão, adote programas e implemente medidas preventivas e/ou corretivas do meio ambiente, inclusive por intermédio de novas obras e serviços não previstos originariamente, observado o equilíbrio econômico-financeiro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4"/>
        </w:numPr>
        <w:ind w:hanging="360" w:left="730" w:right="-26"/>
        <w:rPr>
          <w:rFonts w:ascii="Arial" w:cs="Arial" w:hAnsi="Arial"/>
          <w:szCs w:val="24"/>
        </w:rPr>
      </w:pPr>
      <w:r>
        <w:rPr>
          <w:rFonts w:ascii="Arial" w:cs="Arial" w:hAnsi="Arial"/>
          <w:szCs w:val="24"/>
        </w:rPr>
        <w:t xml:space="preserve">A Concessionária deverá se submeter a todas as medidas adotadas pelas autoridades com poder de fiscalização de meio ambiente, no âmbito das respectivas competências, observando-se sempre o equilíbrio econômico-financeiro do Contrato e suas cláusulas e condições.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4"/>
        </w:numPr>
        <w:ind w:hanging="360" w:left="730" w:right="-26"/>
        <w:rPr>
          <w:rFonts w:ascii="Arial" w:cs="Arial" w:hAnsi="Arial"/>
          <w:szCs w:val="24"/>
        </w:rPr>
      </w:pPr>
      <w:r>
        <w:rPr>
          <w:rFonts w:ascii="Arial" w:cs="Arial" w:hAnsi="Arial"/>
          <w:szCs w:val="24"/>
        </w:rPr>
        <w:t xml:space="preserve">A Concessionária é responsável peta obtenção das licenças ambientais necessárias à execução das obras destinadas ao cumprimento das metas e objetivos da Concessão.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4"/>
        </w:numPr>
        <w:ind w:hanging="360" w:left="730" w:right="-26"/>
        <w:rPr>
          <w:rFonts w:ascii="Arial" w:cs="Arial" w:hAnsi="Arial"/>
          <w:szCs w:val="24"/>
        </w:rPr>
      </w:pPr>
      <w:r>
        <w:rPr>
          <w:rFonts w:ascii="Arial" w:cs="Arial" w:hAnsi="Arial"/>
          <w:szCs w:val="24"/>
        </w:rPr>
        <w:t xml:space="preserve">O Poder Concedente deverá deferir prorrogação de prazos para a realização de metas e objetivos da concessão quando, embora a Concessionária comprove o cumprimento de todos os requisitos para obtenção da licença, não a tenha obtido por razões alheias a sua vontade.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4"/>
        </w:numPr>
        <w:ind w:hanging="360" w:left="730" w:right="-26"/>
        <w:rPr>
          <w:rFonts w:ascii="Arial" w:cs="Arial" w:hAnsi="Arial"/>
          <w:szCs w:val="24"/>
        </w:rPr>
      </w:pPr>
      <w:r>
        <w:rPr>
          <w:rFonts w:ascii="Arial" w:cs="Arial" w:hAnsi="Arial"/>
          <w:szCs w:val="24"/>
        </w:rPr>
        <w:t xml:space="preserve">O Poder Concedente será o único responsável pela obtenção da outorga de uso de recurso hídrico (captação e disposição), bem como pelos custos correspondentes, nos termos da legislação vigente.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4"/>
        </w:numPr>
        <w:ind w:hanging="360" w:left="730" w:right="-26"/>
        <w:rPr>
          <w:rFonts w:ascii="Arial" w:cs="Arial" w:hAnsi="Arial"/>
          <w:szCs w:val="24"/>
        </w:rPr>
      </w:pPr>
      <w:r>
        <w:rPr>
          <w:rFonts w:ascii="Arial" w:cs="Arial" w:hAnsi="Arial"/>
          <w:szCs w:val="24"/>
        </w:rPr>
        <w:t xml:space="preserve">O Poder Concedente será o único responsável pelo passivo ambiental, devendo manter a Concessionária isenta de qualquer responsabilidade, quando: </w:t>
      </w:r>
    </w:p>
    <w:p>
      <w:pPr>
        <w:pStyle w:val="style0"/>
        <w:numPr>
          <w:ilvl w:val="0"/>
          <w:numId w:val="35"/>
        </w:numPr>
        <w:ind w:hanging="360" w:left="10" w:right="-26"/>
        <w:rPr>
          <w:rFonts w:ascii="Arial" w:cs="Arial" w:hAnsi="Arial"/>
          <w:szCs w:val="24"/>
        </w:rPr>
      </w:pPr>
      <w:r>
        <w:rPr>
          <w:rFonts w:ascii="Arial" w:cs="Arial" w:hAnsi="Arial"/>
          <w:szCs w:val="24"/>
        </w:rPr>
        <w:t xml:space="preserve">originado de atos ou fatos ocorridos anteriormente a assinatura deste Contrato, contrários a legislação ambiental pelo lançamento de efluentes sem tratamento ou tratamento inadequado; e </w:t>
      </w:r>
    </w:p>
    <w:p>
      <w:pPr>
        <w:pStyle w:val="style0"/>
        <w:numPr>
          <w:ilvl w:val="0"/>
          <w:numId w:val="35"/>
        </w:numPr>
        <w:ind w:hanging="360" w:left="10" w:right="-26"/>
        <w:rPr>
          <w:rFonts w:ascii="Arial" w:cs="Arial" w:hAnsi="Arial"/>
          <w:szCs w:val="24"/>
        </w:rPr>
      </w:pPr>
      <w:r>
        <w:rPr>
          <w:rFonts w:ascii="Arial" w:cs="Arial" w:hAnsi="Arial"/>
          <w:szCs w:val="24"/>
        </w:rPr>
        <w:t xml:space="preserve">ainda que posterior a assinatura do Contrato de Concessão, decorra de determinação de autoridade ambiental para adaptação da legislação aplicável, em prazos e condições diferentes daqueles previstos no Edital ou neste Contrato e seus anexos.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6"/>
        </w:numPr>
        <w:ind w:hanging="360" w:left="730" w:right="-26"/>
        <w:rPr>
          <w:rFonts w:ascii="Arial" w:cs="Arial" w:hAnsi="Arial"/>
          <w:szCs w:val="24"/>
        </w:rPr>
      </w:pPr>
      <w:r>
        <w:rPr>
          <w:rFonts w:ascii="Arial" w:cs="Arial" w:hAnsi="Arial"/>
          <w:szCs w:val="24"/>
        </w:rPr>
        <w:t xml:space="preserve">Na hipótese prevista na alínea "b" do item 46.9, a Concessionária, concomitantemente a recomposição do equilíbrio econômico-financeiro, poderá adaptar o cronograma de investimentos nos termos da deliberação da autoridade ambiental competente, após ouvida a Agencia de Regulação.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6"/>
        </w:numPr>
        <w:ind w:hanging="360" w:left="730" w:right="-26"/>
        <w:rPr>
          <w:rFonts w:ascii="Arial" w:cs="Arial" w:hAnsi="Arial"/>
          <w:szCs w:val="24"/>
        </w:rPr>
      </w:pPr>
      <w:r>
        <w:rPr>
          <w:rFonts w:ascii="Arial" w:cs="Arial" w:hAnsi="Arial"/>
          <w:szCs w:val="24"/>
        </w:rPr>
        <w:t xml:space="preserve">Alternativamente a recomposição mencionada no item anterior, no caso de impossibilidade de atendimento ao item 46.10 se tornar definitiva ou a recomposição do equilíbrio econômico-financeiro se revelar excessivamente onerosa para o Poder Concedente, as partes acordarão acerca da extinção da concessão, após ouvida a Agência Reguladora, aplicando-se o disposto na Cláusula 43 deste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6"/>
        </w:numPr>
        <w:ind w:hanging="360" w:left="730" w:right="-26"/>
        <w:rPr>
          <w:rFonts w:ascii="Arial" w:cs="Arial" w:hAnsi="Arial"/>
          <w:szCs w:val="24"/>
        </w:rPr>
      </w:pPr>
      <w:r>
        <w:rPr>
          <w:rFonts w:ascii="Arial" w:cs="Arial" w:hAnsi="Arial"/>
          <w:szCs w:val="24"/>
        </w:rPr>
        <w:t xml:space="preserve">O disposto no item 46.11 não se aplicará nas hipóteses em que houver concorrência de culpa, bem como negligência da Concessionária, dos seus acionistas, diretores ou empregados, em sanar eventuais danos ambientais aparentes ou, ainda que ocultos, quando a Concessionária tenha sido devidamente cientificada a respeito dos fatos em questão.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6"/>
        </w:numPr>
        <w:ind w:hanging="360" w:left="730" w:right="-26"/>
        <w:rPr>
          <w:rFonts w:ascii="Arial" w:cs="Arial" w:hAnsi="Arial"/>
          <w:szCs w:val="24"/>
        </w:rPr>
      </w:pPr>
      <w:r>
        <w:rPr>
          <w:rFonts w:ascii="Arial" w:cs="Arial" w:hAnsi="Arial"/>
          <w:szCs w:val="24"/>
        </w:rPr>
        <w:t xml:space="preserve">No caso de a Concessionária vir a responder judicialmente por eventos previstos nesta Cláusula, deverá a Concessionária denunciar a lide o Poder Concedente ou terceiros responsáveis pelo dano causado.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6"/>
        </w:numPr>
        <w:ind w:hanging="360" w:left="730" w:right="-26"/>
        <w:rPr>
          <w:rFonts w:ascii="Arial" w:cs="Arial" w:hAnsi="Arial"/>
          <w:szCs w:val="24"/>
        </w:rPr>
      </w:pPr>
      <w:r>
        <w:rPr>
          <w:rFonts w:ascii="Arial" w:cs="Arial" w:hAnsi="Arial"/>
          <w:szCs w:val="24"/>
        </w:rPr>
        <w:t xml:space="preserve">O Poder Concedente se obriga, no prazo de 30 (trinta) dias do recebimento de notificação da Concessionária, a ressarcir a Concessionária nos casos de ser-lhe imposta qualquer sanção ou determinação com consequência pecuniária, relativa as hipóteses Previstas no item 46.9 desta Cláusula, decorrente de decisão judicial, bem como decorrente de decisão administrativa da qual não caiba mais recurso ou meio de defesa.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6"/>
        </w:numPr>
        <w:ind w:hanging="360" w:left="730" w:right="-26"/>
        <w:rPr>
          <w:rFonts w:ascii="Arial" w:cs="Arial" w:hAnsi="Arial"/>
          <w:szCs w:val="24"/>
        </w:rPr>
      </w:pPr>
      <w:r>
        <w:rPr>
          <w:rFonts w:ascii="Arial" w:cs="Arial" w:hAnsi="Arial"/>
          <w:szCs w:val="24"/>
        </w:rPr>
        <w:t xml:space="preserve">Na falta de ressarcimento a Concessionária, nos termos do item anterior, aplicar-se-á o disposto na Cláusula 21 deste Contrato, devendo o Poder Concedente proceder readequação do equilíbrio econômico-financeiro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47 - Comunicações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47.1. As comunicações realizadas e decorrência deste Contrato serão efetuadas por escrito e remetidas sob protocolo.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47.2. Consideram-se, para efeitos de remessa das comunicações, na forma desta Cláusula, os seguintes endereços: </w:t>
      </w:r>
    </w:p>
    <w:p>
      <w:pPr>
        <w:pStyle w:val="style0"/>
        <w:ind w:hanging="0" w:left="0" w:right="-26"/>
        <w:rPr>
          <w:rFonts w:ascii="Arial" w:cs="Arial" w:hAnsi="Arial"/>
          <w:szCs w:val="24"/>
        </w:rPr>
      </w:pPr>
      <w:r>
        <w:rPr>
          <w:rFonts w:ascii="Arial" w:cs="Arial" w:hAnsi="Arial"/>
          <w:szCs w:val="24"/>
        </w:rPr>
        <w:t xml:space="preserve">a) Poder Concedente: Av. Santa Catarina, 195, Centro, Município de Caçador; </w:t>
      </w:r>
    </w:p>
    <w:p>
      <w:pPr>
        <w:pStyle w:val="style0"/>
        <w:ind w:hanging="0" w:left="0" w:right="-26"/>
        <w:rPr>
          <w:rFonts w:ascii="Arial" w:cs="Arial" w:hAnsi="Arial"/>
          <w:szCs w:val="24"/>
        </w:rPr>
      </w:pPr>
      <w:r>
        <w:rPr>
          <w:rFonts w:ascii="Arial" w:cs="Arial" w:hAnsi="Arial"/>
          <w:szCs w:val="24"/>
        </w:rPr>
        <w:t xml:space="preserve">b) Concessionária: (...); </w:t>
      </w:r>
    </w:p>
    <w:p>
      <w:pPr>
        <w:pStyle w:val="style0"/>
        <w:ind w:hanging="0" w:left="0" w:right="-26"/>
        <w:rPr>
          <w:rFonts w:ascii="Arial" w:cs="Arial" w:hAnsi="Arial"/>
          <w:szCs w:val="24"/>
        </w:rPr>
      </w:pPr>
      <w:r>
        <w:rPr>
          <w:rFonts w:ascii="Arial" w:cs="Arial" w:hAnsi="Arial"/>
          <w:szCs w:val="24"/>
        </w:rPr>
        <w:t xml:space="preserve">c) Agencia Reguladora Intermunicipal de Saneamento — ARIS: Rua Santos Saraiva, 1.456, Estreito, Florianópolis/SC.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47.3. Em caso de alteração de endereço, deverá haver simples comunicação por escrito as partes interessadas.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47.4. O Poder Concedente dará ciência de suas decisões mediante notificação a Concessionária e a terceiros, além de publicar suas decisões e despachos na imprensa oficial.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48 - Exercício de Direitos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48.1. A tolerância de uma das partes, no que tange ao não cumprimento, pela outra parte, de qualquer das disposições ora pactuadas, será considerada mera liberalidade, não constituindo renúncia ao respectivo direito, nem impedimento ao seu exercício posterior, nem constituirá novação contratual.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49 - Invalidade Parcial</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49.1. Se qualquer disposição ou Cláusula deste Contrato for declarada ilegal ou invalida por um juízo de jurisdição competente, este Contrato deverá continuar em pleno vigor e efeito sem a citada disposição.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49.2. No caso de a declaração de que trata o item 49.1 anterior alterar substancialmente os benefícios econômicos deste Contrato para qualquer das partes, o Poder Concedente e a Concessionária deverão negociar, de boa fé, um ajuste equitativo para tal disposição, a fim de preservar o equilíbrio econômico-financeiro do Contrato.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50 - Publicação e Registro do Contrato</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50.1. Dentro dos 20 (vinte) dias que se seguirem a assinatura do Contrato, o Poder Concedente providenciará a publicação do extrato do Contrato na imprensa oficial, que será registrado e arquivado com o Poder Concedente e com a Concessionária, devendo-se remeter cópia deste Contrato para a Agência Reguladora.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1"/>
        <w:ind w:hanging="0" w:left="0" w:right="-26"/>
        <w:rPr>
          <w:rFonts w:ascii="Arial" w:cs="Arial" w:hAnsi="Arial"/>
          <w:szCs w:val="24"/>
        </w:rPr>
      </w:pPr>
      <w:r>
        <w:rPr>
          <w:rFonts w:ascii="Arial" w:cs="Arial" w:hAnsi="Arial"/>
          <w:szCs w:val="24"/>
        </w:rPr>
        <w:t>Cláusula 51 - Do Mecanismo de Solução de Controvérsias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51.1. As controvérsias que vierem a surgir entre as partes durante a execução deste Contrato, a qualquer tempo, e que não possam ser solucionadas mediante acordo, poderão, caso assim concordem as partes, serem submetidas a arbitragem, conforme o procedimento adiante especificado: </w:t>
      </w:r>
    </w:p>
    <w:p>
      <w:pPr>
        <w:pStyle w:val="style0"/>
        <w:numPr>
          <w:ilvl w:val="0"/>
          <w:numId w:val="37"/>
        </w:numPr>
        <w:ind w:hanging="360" w:left="259" w:right="-26"/>
        <w:rPr>
          <w:rFonts w:ascii="Arial" w:cs="Arial" w:hAnsi="Arial"/>
          <w:szCs w:val="24"/>
        </w:rPr>
      </w:pPr>
      <w:r>
        <w:rPr>
          <w:rFonts w:ascii="Arial" w:cs="Arial" w:hAnsi="Arial"/>
          <w:szCs w:val="24"/>
        </w:rPr>
        <w:t xml:space="preserve">a Parte interessada notificará a outra, por escrito, de sua decisão de submeter a divergência a arbitragem, nomeando, desde logo, no mesmo documento, o seu árbitro </w:t>
      </w:r>
    </w:p>
    <w:p>
      <w:pPr>
        <w:pStyle w:val="style0"/>
        <w:ind w:hanging="0" w:left="0" w:right="-26"/>
        <w:rPr>
          <w:rFonts w:ascii="Arial" w:cs="Arial" w:hAnsi="Arial"/>
          <w:szCs w:val="24"/>
        </w:rPr>
      </w:pPr>
      <w:r>
        <w:rPr>
          <w:rFonts w:ascii="Arial" w:cs="Arial" w:hAnsi="Arial"/>
          <w:szCs w:val="24"/>
        </w:rPr>
        <w:t xml:space="preserve">(primeiro arbitro); </w:t>
      </w:r>
    </w:p>
    <w:p>
      <w:pPr>
        <w:pStyle w:val="style0"/>
        <w:numPr>
          <w:ilvl w:val="0"/>
          <w:numId w:val="37"/>
        </w:numPr>
        <w:ind w:hanging="360" w:left="259" w:right="-26"/>
        <w:rPr>
          <w:rFonts w:ascii="Arial" w:cs="Arial" w:hAnsi="Arial"/>
          <w:szCs w:val="24"/>
        </w:rPr>
      </w:pPr>
      <w:r>
        <w:rPr>
          <w:rFonts w:ascii="Arial" w:cs="Arial" w:hAnsi="Arial"/>
          <w:szCs w:val="24"/>
        </w:rPr>
        <w:t xml:space="preserve">dentro do prazo improrrogável de 15 (quinze) dias, contados do recebimento dessa comunicação, a Parte notificada deverá nomear o respectivo árbitro (segundo árbitro), também por escrito; </w:t>
      </w:r>
    </w:p>
    <w:p>
      <w:pPr>
        <w:pStyle w:val="style0"/>
        <w:numPr>
          <w:ilvl w:val="0"/>
          <w:numId w:val="37"/>
        </w:numPr>
        <w:ind w:hanging="360" w:left="259" w:right="-26"/>
        <w:rPr>
          <w:rFonts w:ascii="Arial" w:cs="Arial" w:hAnsi="Arial"/>
          <w:szCs w:val="24"/>
        </w:rPr>
      </w:pPr>
      <w:r>
        <w:rPr>
          <w:rFonts w:ascii="Arial" w:cs="Arial" w:hAnsi="Arial"/>
          <w:szCs w:val="24"/>
        </w:rPr>
        <w:t xml:space="preserve">os árbitros nomeados pelas partes deverão acordar, no prazo máximo de 10 (dez) dias contados da nomeação do segundo árbitro, acerca da nomeação do terceiro árbitro, que presidirá o Tribunal Arbitral; </w:t>
      </w:r>
    </w:p>
    <w:p>
      <w:pPr>
        <w:pStyle w:val="style0"/>
        <w:numPr>
          <w:ilvl w:val="0"/>
          <w:numId w:val="37"/>
        </w:numPr>
        <w:ind w:hanging="360" w:left="259" w:right="-26"/>
        <w:rPr>
          <w:rFonts w:ascii="Arial" w:cs="Arial" w:hAnsi="Arial"/>
          <w:szCs w:val="24"/>
        </w:rPr>
      </w:pPr>
      <w:r>
        <w:rPr>
          <w:rFonts w:ascii="Arial" w:cs="Arial" w:hAnsi="Arial"/>
          <w:szCs w:val="24"/>
        </w:rPr>
        <w:t xml:space="preserve">caso a Parte notificada deixe de nomear o segundo árbitro, a que se refere a alínea "b" acima ou caso os árbitros nomeados pelas Partes não acordem acerca da nomeação do terceiro árbitro, nas datas correspondentes, qualquer das Partes poderá solicitar ao Diretor-Presidente da Agência Reguladora que nomeie o segundo árbitro ou o terceiro, ou ambos, sendo que tal nomeação deverá ser feita pelo Diretor-Presidente em até 10 </w:t>
      </w:r>
    </w:p>
    <w:p>
      <w:pPr>
        <w:pStyle w:val="style0"/>
        <w:ind w:hanging="0" w:left="0" w:right="-26"/>
        <w:rPr>
          <w:rFonts w:ascii="Arial" w:cs="Arial" w:hAnsi="Arial"/>
          <w:szCs w:val="24"/>
        </w:rPr>
      </w:pPr>
      <w:r>
        <w:rPr>
          <w:rFonts w:ascii="Arial" w:cs="Arial" w:hAnsi="Arial"/>
          <w:szCs w:val="24"/>
        </w:rPr>
        <w:t xml:space="preserve">(dez) dias contados da solicitação da Parte; </w:t>
      </w:r>
    </w:p>
    <w:p>
      <w:pPr>
        <w:pStyle w:val="style0"/>
        <w:numPr>
          <w:ilvl w:val="0"/>
          <w:numId w:val="37"/>
        </w:numPr>
        <w:ind w:hanging="360" w:left="259" w:right="-26"/>
        <w:rPr>
          <w:rFonts w:ascii="Arial" w:cs="Arial" w:hAnsi="Arial"/>
          <w:szCs w:val="24"/>
        </w:rPr>
      </w:pPr>
      <w:r>
        <w:rPr>
          <w:rFonts w:ascii="Arial" w:cs="Arial" w:hAnsi="Arial"/>
          <w:szCs w:val="24"/>
        </w:rPr>
        <w:t xml:space="preserve">uma vez constituído o Tribunal Arbitral, este deve dirimir a controvérsia de acordo com as regras e procedimento definidos pelos árbitros, no que não conflitar com o disposto nesta Cláusula, sendo certo que a decisão arbitral deverá ser proferida no prazo de até 90 (noventa) dias; </w:t>
      </w:r>
    </w:p>
    <w:p>
      <w:pPr>
        <w:pStyle w:val="style0"/>
        <w:numPr>
          <w:ilvl w:val="0"/>
          <w:numId w:val="37"/>
        </w:numPr>
        <w:ind w:hanging="360" w:left="259" w:right="-26"/>
        <w:rPr>
          <w:rFonts w:ascii="Arial" w:cs="Arial" w:hAnsi="Arial"/>
          <w:szCs w:val="24"/>
        </w:rPr>
      </w:pPr>
      <w:r>
        <w:rPr>
          <w:rFonts w:ascii="Arial" w:cs="Arial" w:hAnsi="Arial"/>
          <w:szCs w:val="24"/>
        </w:rPr>
        <w:t xml:space="preserve">as Partes concordam, desde já, que não aceitarão que o julgamento das controvérsias seja feito com base na equidade; </w:t>
      </w:r>
    </w:p>
    <w:p>
      <w:pPr>
        <w:pStyle w:val="style0"/>
        <w:numPr>
          <w:ilvl w:val="0"/>
          <w:numId w:val="37"/>
        </w:numPr>
        <w:ind w:hanging="360" w:left="259" w:right="-26"/>
        <w:rPr>
          <w:rFonts w:ascii="Arial" w:cs="Arial" w:hAnsi="Arial"/>
          <w:szCs w:val="24"/>
        </w:rPr>
      </w:pPr>
      <w:r>
        <w:rPr>
          <w:rFonts w:ascii="Arial" w:cs="Arial" w:hAnsi="Arial"/>
          <w:szCs w:val="24"/>
        </w:rPr>
        <w:t xml:space="preserve">a sentença arbitral será definitiva e obrigatória para as Partes; </w:t>
      </w:r>
    </w:p>
    <w:p>
      <w:pPr>
        <w:pStyle w:val="style0"/>
        <w:numPr>
          <w:ilvl w:val="0"/>
          <w:numId w:val="37"/>
        </w:numPr>
        <w:ind w:hanging="360" w:left="259" w:right="-26"/>
        <w:rPr>
          <w:rFonts w:ascii="Arial" w:cs="Arial" w:hAnsi="Arial"/>
          <w:szCs w:val="24"/>
        </w:rPr>
      </w:pPr>
      <w:r>
        <w:rPr>
          <w:rFonts w:ascii="Arial" w:cs="Arial" w:hAnsi="Arial"/>
          <w:szCs w:val="24"/>
        </w:rPr>
        <w:t xml:space="preserve">as Partes suportarão em iguais proporções os honorários e custos do Tribunal Arbitral e cada uma delas suportará exclusivamente seus próprios custos de advogados peritos e outros necessários a defesa de seus interesses perante o Tribunal Arbitral.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51.2. O procedimento arbitral terá lugar na sede da Agência de Regulação.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b/>
          <w:szCs w:val="24"/>
        </w:rPr>
      </w:pPr>
      <w:r>
        <w:rPr>
          <w:rFonts w:ascii="Arial" w:cs="Arial" w:hAnsi="Arial"/>
          <w:b/>
          <w:szCs w:val="24"/>
        </w:rPr>
        <w:t xml:space="preserve"> </w:t>
      </w:r>
    </w:p>
    <w:p>
      <w:pPr>
        <w:pStyle w:val="style0"/>
        <w:spacing w:after="151" w:before="0" w:line="256" w:lineRule="auto"/>
        <w:ind w:hanging="0" w:left="0" w:right="-26"/>
        <w:contextualSpacing w:val="false"/>
        <w:jc w:val="center"/>
        <w:rPr>
          <w:rFonts w:ascii="Arial" w:cs="Arial" w:hAnsi="Arial"/>
          <w:b/>
          <w:szCs w:val="24"/>
        </w:rPr>
      </w:pPr>
      <w:r>
        <w:rPr>
          <w:rFonts w:ascii="Arial" w:cs="Arial" w:hAnsi="Arial"/>
          <w:b/>
          <w:szCs w:val="24"/>
        </w:rPr>
        <w:t>Cláusula 52 - Disposições Finais</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8"/>
        </w:numPr>
        <w:ind w:hanging="360" w:left="730" w:right="-26"/>
        <w:rPr>
          <w:rFonts w:ascii="Arial" w:cs="Arial" w:hAnsi="Arial"/>
          <w:szCs w:val="24"/>
        </w:rPr>
      </w:pPr>
      <w:r>
        <w:rPr>
          <w:rFonts w:ascii="Arial" w:cs="Arial" w:hAnsi="Arial"/>
          <w:szCs w:val="24"/>
        </w:rPr>
        <w:t xml:space="preserve">O Poder Concedente e a Concessionária comprometem-se, na execução deste Contrato, a observar o princípio da boa-fé e da conservação dos negócios jurídicos.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numPr>
          <w:ilvl w:val="1"/>
          <w:numId w:val="38"/>
        </w:numPr>
        <w:ind w:hanging="360" w:left="730" w:right="-26"/>
        <w:rPr>
          <w:rFonts w:ascii="Arial" w:cs="Arial" w:hAnsi="Arial"/>
          <w:szCs w:val="24"/>
        </w:rPr>
      </w:pPr>
      <w:r>
        <w:rPr>
          <w:rFonts w:ascii="Arial" w:cs="Arial" w:hAnsi="Arial"/>
          <w:szCs w:val="24"/>
        </w:rPr>
        <w:t xml:space="preserve">O presente Contrato tem como finalidade garantir a universalização e a prestação eficiente dos serviços de abastecimento de água e esgotamento sanitário no Município de Caçador, dentro das metas e condições previstas nos documentos que acompanham este instrumento, sem prejuízo da manutenção do equilíbrio econômico-financeiro da concessão e da modicidade tarifária.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ind w:hanging="0" w:left="0" w:right="-26"/>
        <w:rPr>
          <w:rFonts w:ascii="Arial" w:cs="Arial" w:hAnsi="Arial"/>
          <w:szCs w:val="24"/>
        </w:rPr>
      </w:pPr>
      <w:r>
        <w:rPr>
          <w:rFonts w:ascii="Arial" w:cs="Arial" w:hAnsi="Arial"/>
          <w:szCs w:val="24"/>
        </w:rPr>
        <w:t xml:space="preserve">Assim, havendo sido ajustado, fizeram as Partes lavrar o presente instrumento, em 3 (três) vias, de igual teor e forma, que serão assinadas pelos representantes do Poder Concedente e da Concessionária, juntamente com duas testemunhas, para que produza seus regulares efeitos, obrigando-se entre si e seus herdeiros e sucessores. </w:t>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after="10" w:before="0" w:line="247" w:lineRule="auto"/>
        <w:ind w:hanging="0" w:left="0" w:right="-26"/>
        <w:contextualSpacing w:val="false"/>
        <w:jc w:val="center"/>
        <w:rPr>
          <w:rFonts w:ascii="Arial" w:cs="Arial" w:hAnsi="Arial"/>
          <w:szCs w:val="24"/>
        </w:rPr>
      </w:pPr>
      <w:r>
        <w:rPr>
          <w:rFonts w:ascii="Arial" w:cs="Arial" w:hAnsi="Arial"/>
          <w:szCs w:val="24"/>
        </w:rPr>
        <w:t>___________________</w:t>
      </w:r>
    </w:p>
    <w:p>
      <w:pPr>
        <w:pStyle w:val="style0"/>
        <w:spacing w:after="10" w:before="0" w:line="247" w:lineRule="auto"/>
        <w:ind w:hanging="0" w:left="0" w:right="-26"/>
        <w:contextualSpacing w:val="false"/>
        <w:jc w:val="center"/>
        <w:rPr>
          <w:rFonts w:ascii="Arial" w:cs="Arial" w:hAnsi="Arial"/>
          <w:szCs w:val="24"/>
        </w:rPr>
      </w:pPr>
      <w:r>
        <w:rPr>
          <w:rFonts w:ascii="Arial" w:cs="Arial" w:hAnsi="Arial"/>
          <w:szCs w:val="24"/>
        </w:rPr>
        <w:t>Poder Concedente</w:t>
      </w:r>
    </w:p>
    <w:p>
      <w:pPr>
        <w:pStyle w:val="style0"/>
        <w:spacing w:after="10" w:before="0" w:line="247" w:lineRule="auto"/>
        <w:ind w:hanging="0" w:left="0" w:right="-26"/>
        <w:contextualSpacing w:val="false"/>
        <w:jc w:val="center"/>
        <w:rPr>
          <w:rFonts w:ascii="Arial" w:cs="Arial" w:hAnsi="Arial"/>
          <w:szCs w:val="24"/>
        </w:rPr>
      </w:pPr>
      <w:r>
        <w:rPr>
          <w:rFonts w:ascii="Arial" w:cs="Arial" w:hAnsi="Arial"/>
          <w:szCs w:val="24"/>
        </w:rPr>
        <w:t>Prefeito Municipal</w:t>
      </w:r>
    </w:p>
    <w:p>
      <w:pPr>
        <w:pStyle w:val="style0"/>
        <w:spacing w:line="256" w:lineRule="auto"/>
        <w:ind w:hanging="0" w:left="0" w:right="-26"/>
        <w:jc w:val="center"/>
        <w:rPr>
          <w:rFonts w:ascii="Arial" w:cs="Arial" w:hAnsi="Arial"/>
          <w:szCs w:val="24"/>
        </w:rPr>
      </w:pPr>
      <w:r>
        <w:rPr>
          <w:rFonts w:ascii="Arial" w:cs="Arial" w:hAnsi="Arial"/>
          <w:szCs w:val="24"/>
        </w:rPr>
      </w:r>
    </w:p>
    <w:p>
      <w:pPr>
        <w:pStyle w:val="style0"/>
        <w:spacing w:line="256" w:lineRule="auto"/>
        <w:ind w:hanging="0" w:left="0" w:right="-26"/>
        <w:jc w:val="center"/>
        <w:rPr>
          <w:rFonts w:ascii="Arial" w:cs="Arial" w:hAnsi="Arial"/>
          <w:szCs w:val="24"/>
        </w:rPr>
      </w:pPr>
      <w:r>
        <w:rPr>
          <w:rFonts w:ascii="Arial" w:cs="Arial" w:hAnsi="Arial"/>
          <w:szCs w:val="24"/>
        </w:rPr>
      </w:r>
    </w:p>
    <w:p>
      <w:pPr>
        <w:pStyle w:val="style0"/>
        <w:spacing w:after="10" w:before="0" w:line="247" w:lineRule="auto"/>
        <w:ind w:hanging="0" w:left="0" w:right="-26"/>
        <w:contextualSpacing w:val="false"/>
        <w:jc w:val="center"/>
        <w:rPr>
          <w:rFonts w:ascii="Arial" w:cs="Arial" w:hAnsi="Arial"/>
          <w:szCs w:val="24"/>
        </w:rPr>
      </w:pPr>
      <w:r>
        <w:rPr>
          <w:rFonts w:ascii="Arial" w:cs="Arial" w:hAnsi="Arial"/>
          <w:szCs w:val="24"/>
        </w:rPr>
        <w:t>_______________</w:t>
      </w:r>
    </w:p>
    <w:p>
      <w:pPr>
        <w:pStyle w:val="style0"/>
        <w:spacing w:after="10" w:before="0" w:line="247" w:lineRule="auto"/>
        <w:ind w:hanging="0" w:left="0" w:right="-26"/>
        <w:contextualSpacing w:val="false"/>
        <w:jc w:val="center"/>
        <w:rPr>
          <w:rFonts w:ascii="Arial" w:cs="Arial" w:hAnsi="Arial"/>
          <w:szCs w:val="24"/>
        </w:rPr>
      </w:pPr>
      <w:r>
        <w:rPr>
          <w:rFonts w:ascii="Arial" w:cs="Arial" w:hAnsi="Arial"/>
          <w:szCs w:val="24"/>
        </w:rPr>
        <w:t>Concessionária</w:t>
      </w:r>
    </w:p>
    <w:p>
      <w:pPr>
        <w:pStyle w:val="style0"/>
        <w:spacing w:after="10" w:before="0" w:line="247" w:lineRule="auto"/>
        <w:ind w:hanging="0" w:left="0" w:right="-26"/>
        <w:contextualSpacing w:val="false"/>
        <w:jc w:val="center"/>
        <w:rPr>
          <w:rFonts w:ascii="Arial" w:cs="Arial" w:hAnsi="Arial"/>
          <w:szCs w:val="24"/>
        </w:rPr>
      </w:pPr>
      <w:r>
        <w:rPr>
          <w:rFonts w:ascii="Arial" w:cs="Arial" w:hAnsi="Arial"/>
          <w:szCs w:val="24"/>
        </w:rPr>
        <w:t>Representante Legal</w:t>
      </w:r>
    </w:p>
    <w:p>
      <w:pPr>
        <w:pStyle w:val="style0"/>
        <w:spacing w:line="256" w:lineRule="auto"/>
        <w:ind w:hanging="0" w:left="0" w:right="-26"/>
        <w:rPr>
          <w:rFonts w:ascii="Arial" w:cs="Arial" w:hAnsi="Arial"/>
          <w:szCs w:val="24"/>
        </w:rPr>
      </w:pPr>
      <w:r>
        <w:rPr>
          <w:rFonts w:ascii="Arial" w:cs="Arial" w:hAnsi="Arial"/>
          <w:szCs w:val="24"/>
        </w:rPr>
      </w:r>
    </w:p>
    <w:p>
      <w:pPr>
        <w:pStyle w:val="style0"/>
        <w:spacing w:line="256" w:lineRule="auto"/>
        <w:ind w:hanging="0" w:left="0" w:right="-26"/>
        <w:rPr>
          <w:rFonts w:ascii="Arial" w:cs="Arial" w:hAnsi="Arial"/>
          <w:szCs w:val="24"/>
        </w:rPr>
      </w:pPr>
      <w:r>
        <w:rPr>
          <w:rFonts w:ascii="Arial" w:cs="Arial" w:hAnsi="Arial"/>
          <w:szCs w:val="24"/>
        </w:rPr>
        <w:t xml:space="preserve"> </w:t>
      </w:r>
    </w:p>
    <w:p>
      <w:pPr>
        <w:pStyle w:val="style0"/>
        <w:spacing w:line="256" w:lineRule="auto"/>
        <w:ind w:hanging="0" w:left="0" w:right="-26"/>
        <w:rPr>
          <w:rFonts w:ascii="Arial" w:cs="Arial" w:hAnsi="Arial"/>
          <w:szCs w:val="24"/>
        </w:rPr>
      </w:pPr>
      <w:r>
        <w:rPr>
          <w:rFonts w:ascii="Arial" w:cs="Arial" w:hAnsi="Arial"/>
          <w:szCs w:val="24"/>
          <w:u w:val="single"/>
        </w:rPr>
        <w:t>Testemunhas:</w:t>
      </w:r>
      <w:r>
        <w:rPr>
          <w:rFonts w:ascii="Arial" w:cs="Arial" w:hAnsi="Arial"/>
          <w:szCs w:val="24"/>
        </w:rPr>
        <w:t xml:space="preserve"> </w:t>
      </w:r>
    </w:p>
    <w:p>
      <w:pPr>
        <w:pStyle w:val="style0"/>
        <w:spacing w:after="155" w:before="0" w:line="256" w:lineRule="auto"/>
        <w:ind w:hanging="0" w:left="0" w:right="-26"/>
        <w:contextualSpacing w:val="false"/>
        <w:rPr>
          <w:rFonts w:ascii="Arial" w:cs="Arial" w:eastAsia="Calibri" w:hAnsi="Arial"/>
          <w:szCs w:val="24"/>
        </w:rPr>
      </w:pPr>
      <w:r>
        <w:rPr>
          <w:rFonts w:ascii="Arial" w:cs="Arial" w:eastAsia="Calibri" w:hAnsi="Arial"/>
          <w:szCs w:val="24"/>
        </w:rPr>
        <w:t xml:space="preserve"> </w:t>
      </w:r>
    </w:p>
    <w:p>
      <w:pPr>
        <w:pStyle w:val="style0"/>
        <w:spacing w:line="256" w:lineRule="auto"/>
        <w:ind w:hanging="0" w:left="0" w:right="-26"/>
        <w:rPr>
          <w:rFonts w:ascii="Arial" w:cs="Arial" w:eastAsia="Calibri" w:hAnsi="Arial"/>
          <w:szCs w:val="24"/>
        </w:rPr>
      </w:pPr>
      <w:r>
        <w:rPr>
          <w:rFonts w:ascii="Arial" w:cs="Arial" w:eastAsia="Calibri" w:hAnsi="Arial"/>
          <w:szCs w:val="24"/>
        </w:rPr>
        <w:t xml:space="preserve"> </w:t>
      </w:r>
    </w:p>
    <w:p>
      <w:pPr>
        <w:pStyle w:val="style26"/>
        <w:widowControl/>
        <w:pBdr>
          <w:top w:val="nil"/>
          <w:left w:val="nil"/>
          <w:bottom w:val="nil"/>
          <w:insideH w:val="nil"/>
          <w:right w:val="nil"/>
          <w:insideV w:val="nil"/>
        </w:pBdr>
        <w:spacing w:after="119" w:before="0" w:line="180" w:lineRule="atLeast"/>
        <w:ind w:hanging="11" w:left="11" w:right="6"/>
        <w:contextualSpacing w:val="false"/>
        <w:jc w:val="left"/>
        <w:rPr>
          <w:rFonts w:ascii="Arial;serif" w:cs="Times New Roman" w:eastAsia="Times New Roman" w:hAnsi="Arial;serif"/>
          <w:b w:val="false"/>
          <w:i w:val="false"/>
          <w:caps w:val="false"/>
          <w:smallCaps w:val="false"/>
          <w:color w:val="000000"/>
          <w:spacing w:val="0"/>
          <w:sz w:val="24"/>
        </w:rPr>
      </w:pPr>
      <w:r>
        <w:rPr>
          <w:rFonts w:ascii="Arial;serif" w:cs="Times New Roman" w:eastAsia="Times New Roman" w:hAnsi="Arial;serif"/>
          <w:b w:val="false"/>
          <w:i w:val="false"/>
          <w:caps w:val="false"/>
          <w:smallCaps w:val="false"/>
          <w:color w:val="000000"/>
          <w:spacing w:val="0"/>
          <w:sz w:val="24"/>
        </w:rPr>
      </w:r>
    </w:p>
    <w:sectPr>
      <w:headerReference r:id="rId2" w:type="even"/>
      <w:headerReference r:id="rId3" w:type="default"/>
      <w:footerReference r:id="rId4" w:type="even"/>
      <w:footerReference r:id="rId5" w:type="default"/>
      <w:type w:val="nextPage"/>
      <w:pgSz w:h="16838" w:w="11906"/>
      <w:pgMar w:bottom="1418" w:footer="720" w:gutter="0" w:header="720" w:left="1701" w:right="1134" w:top="1985"/>
      <w:pgNumType w:fmt="decimal"/>
      <w:formProt w:val="false"/>
      <w:textDirection w:val="lrTb"/>
      <w:docGrid w:charSpace="0" w:linePitch="24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imes New Roman">
    <w:charset w:val="00"/>
    <w:family w:val="swiss"/>
    <w:pitch w:val="variable"/>
  </w:font>
  <w:font w:name="Segoe UI">
    <w:charset w:val="00"/>
    <w:family w:val="roman"/>
    <w:pitch w:val="variable"/>
  </w:font>
  <w:font w:name="Arial">
    <w:charset w:val="00"/>
    <w:family w:val="roman"/>
    <w:pitch w:val="variable"/>
  </w:font>
  <w:font w:name="Arial">
    <w:altName w:val="serif"/>
    <w:charset w:val="00"/>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spacing w:line="256" w:lineRule="auto"/>
      <w:ind w:hanging="0" w:left="0" w:right="2"/>
      <w:jc w:val="right"/>
      <w:rPr>
        <w:rFonts w:ascii="Calibri" w:cs="Calibri" w:eastAsia="Calibri" w:hAnsi="Calibri"/>
        <w:sz w:val="22"/>
      </w:rPr>
    </w:pPr>
    <w:r>
      <w:rPr>
        <w:rFonts w:ascii="Calibri" w:cs="Calibri" w:eastAsia="Calibri" w:hAnsi="Calibri"/>
        <w:sz w:val="22"/>
      </w:rPr>
      <w:fldChar w:fldCharType="begin"/>
    </w:r>
    <w:r>
      <w:instrText> PAGE </w:instrText>
    </w:r>
    <w:r>
      <w:fldChar w:fldCharType="separate"/>
    </w:r>
    <w:r>
      <w:t>50</w:t>
    </w:r>
    <w:r>
      <w:fldChar w:fldCharType="end"/>
    </w:r>
    <w:r>
      <w:rPr>
        <w:rFonts w:ascii="Calibri" w:cs="Calibri" w:eastAsia="Calibri" w:hAnsi="Calibri"/>
        <w:sz w:val="22"/>
      </w:rPr>
      <w:t xml:space="preserve"> </w:t>
    </w:r>
  </w:p>
  <w:p>
    <w:pPr>
      <w:pStyle w:val="style0"/>
      <w:spacing w:line="256" w:lineRule="auto"/>
      <w:ind w:hanging="0" w:left="0" w:right="0"/>
      <w:jc w:val="left"/>
      <w:rPr>
        <w:rFonts w:ascii="Calibri" w:cs="Calibri" w:eastAsia="Calibri" w:hAnsi="Calibri"/>
        <w:sz w:val="22"/>
      </w:rPr>
    </w:pPr>
    <w:r>
      <w:rPr>
        <w:rFonts w:ascii="Calibri" w:cs="Calibri" w:eastAsia="Calibri" w:hAnsi="Calibri"/>
        <w:sz w:val="22"/>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spacing w:after="1327" w:before="0" w:line="256" w:lineRule="auto"/>
      <w:ind w:hanging="0" w:left="0" w:right="0"/>
      <w:contextualSpacing w:val="false"/>
      <w:jc w:val="left"/>
      <w:rPr/>
    </w:pPr>
    <w:r>
      <w:rPr/>
      <w:t xml:space="preserve"> </w:t>
    </w:r>
  </w:p>
  <w:p>
    <w:pPr>
      <w:pStyle w:val="style0"/>
      <w:spacing w:line="256" w:lineRule="auto"/>
      <w:ind w:hanging="0" w:left="0" w:right="2"/>
      <w:jc w:val="right"/>
      <w:rPr>
        <w:rFonts w:ascii="Calibri" w:cs="Calibri" w:eastAsia="Calibri" w:hAnsi="Calibri"/>
        <w:sz w:val="22"/>
      </w:rPr>
    </w:pPr>
    <w:r>
      <w:rPr>
        <w:rFonts w:ascii="Calibri" w:cs="Calibri" w:eastAsia="Calibri" w:hAnsi="Calibri"/>
        <w:sz w:val="22"/>
      </w:rPr>
      <w:fldChar w:fldCharType="begin"/>
    </w:r>
    <w:r>
      <w:instrText> PAGE </w:instrText>
    </w:r>
    <w:r>
      <w:fldChar w:fldCharType="separate"/>
    </w:r>
    <w:r>
      <w:t>1</w:t>
    </w:r>
    <w:r>
      <w:fldChar w:fldCharType="end"/>
    </w:r>
    <w:r>
      <w:rPr>
        <w:rFonts w:ascii="Calibri" w:cs="Calibri" w:eastAsia="Calibri" w:hAnsi="Calibri"/>
        <w:sz w:val="22"/>
      </w:rPr>
      <w:t xml:space="preserve"> </w:t>
    </w:r>
  </w:p>
  <w:p>
    <w:pPr>
      <w:pStyle w:val="style0"/>
      <w:spacing w:line="256" w:lineRule="auto"/>
      <w:ind w:hanging="0" w:left="0" w:right="0"/>
      <w:jc w:val="left"/>
      <w:rPr>
        <w:rFonts w:ascii="Calibri" w:cs="Calibri" w:eastAsia="Calibri" w:hAnsi="Calibri"/>
        <w:sz w:val="22"/>
      </w:rPr>
    </w:pPr>
    <w:r>
      <w:rPr>
        <w:rFonts w:ascii="Calibri" w:cs="Calibri" w:eastAsia="Calibri" w:hAnsi="Calibri"/>
        <w:sz w:val="22"/>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34"/>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34"/>
      <w:rPr/>
    </w:pPr>
    <w:r>
      <w:rPr/>
    </w:r>
  </w:p>
</w:hdr>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2">
    <w:lvl w:ilvl="0">
      <w:start w:val="2"/>
      <w:numFmt w:val="lowerLetter"/>
      <w:lvlText w:val="%1)"/>
      <w:lvlJc w:val="left"/>
      <w:pPr>
        <w:ind w:hanging="360" w:left="259"/>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3">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4">
    <w:lvl w:ilvl="0">
      <w:start w:val="20"/>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6"/>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5">
    <w:lvl w:ilvl="0">
      <w:start w:val="1"/>
      <w:numFmt w:val="lowerLetter"/>
      <w:lvlText w:val="%1)"/>
      <w:lvlJc w:val="left"/>
      <w:pPr>
        <w:ind w:hanging="360" w:left="391"/>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6">
    <w:lvl w:ilvl="0">
      <w:start w:val="1"/>
      <w:numFmt w:val="lowerLetter"/>
      <w:lvlText w:val="%1)"/>
      <w:lvlJc w:val="left"/>
      <w:pPr>
        <w:ind w:hanging="360" w:left="273"/>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7">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8">
    <w:lvl w:ilvl="0">
      <w:start w:val="1"/>
      <w:numFmt w:val="lowerLetter"/>
      <w:lvlText w:val="%1)"/>
      <w:lvlJc w:val="left"/>
      <w:pPr>
        <w:ind w:hanging="360" w:left="327"/>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9">
    <w:lvl w:ilvl="0">
      <w:start w:val="24"/>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10">
    <w:lvl w:ilvl="0">
      <w:start w:val="24"/>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2"/>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11">
    <w:lvl w:ilvl="0">
      <w:start w:val="1"/>
      <w:numFmt w:val="lowerLetter"/>
      <w:lvlText w:val="%1)"/>
      <w:lvlJc w:val="left"/>
      <w:pPr>
        <w:ind w:hanging="360" w:left="259"/>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12">
    <w:lvl w:ilvl="0">
      <w:start w:val="29"/>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3"/>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13">
    <w:lvl w:ilvl="0">
      <w:start w:val="2"/>
      <w:numFmt w:val="lowerLetter"/>
      <w:lvlText w:val="%1)"/>
      <w:lvlJc w:val="left"/>
      <w:pPr>
        <w:ind w:hanging="360" w:left="259"/>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14">
    <w:lvl w:ilvl="0">
      <w:start w:val="1"/>
      <w:numFmt w:val="lowerLetter"/>
      <w:lvlText w:val="%1)"/>
      <w:lvlJc w:val="left"/>
      <w:pPr>
        <w:ind w:hanging="360" w:left="343"/>
      </w:pPr>
      <w:rPr>
        <w:color w:val="000000"/>
        <w:dstrike w:val="false"/>
        <w:strike w:val="false"/>
        <w:vertAlign w:val="baseline"/>
        <w:position w:val="0"/>
        <w:sz w:val="24"/>
        <w:sz w:val="24"/>
        <w:i w:val="false"/>
        <w:u w:val="none"/>
        <w:b w:val="false"/>
        <w:shd w:fill="FFFFFF" w:val="clear"/>
        <w:szCs w:val="24"/>
      </w:rPr>
    </w:lvl>
    <w:lvl w:ilvl="1">
      <w:start w:val="1"/>
      <w:numFmt w:val="decimal"/>
      <w:lvlText w:val="%1.%2)"/>
      <w:lvlJc w:val="left"/>
      <w:pPr>
        <w:ind w:hanging="360" w:left="1146"/>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15">
    <w:lvl w:ilvl="0">
      <w:start w:val="1"/>
      <w:numFmt w:val="lowerLetter"/>
      <w:lvlText w:val="%1)"/>
      <w:lvlJc w:val="left"/>
      <w:pPr>
        <w:ind w:hanging="360" w:left="246"/>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16">
    <w:lvl w:ilvl="0">
      <w:start w:val="34"/>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4"/>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17">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18">
    <w:lvl w:ilvl="0">
      <w:start w:val="8"/>
      <w:numFmt w:val="lowerLetter"/>
      <w:lvlText w:val="%1)"/>
      <w:lvlJc w:val="left"/>
      <w:pPr>
        <w:ind w:hanging="360" w:left="288"/>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19">
    <w:lvl w:ilvl="0">
      <w:start w:val="34"/>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6"/>
      <w:numFmt w:val="decimal"/>
      <w:lvlText w:val="%1.%2."/>
      <w:lvlJc w:val="left"/>
      <w:pPr>
        <w:ind w:hanging="360" w:left="13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20">
    <w:lvl w:ilvl="0">
      <w:start w:val="1"/>
      <w:numFmt w:val="lowerLetter"/>
      <w:lvlText w:val="%1)"/>
      <w:lvlJc w:val="left"/>
      <w:pPr>
        <w:ind w:hanging="360" w:left="247"/>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21">
    <w:lvl w:ilvl="0">
      <w:start w:val="34"/>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18"/>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22">
    <w:lvl w:ilvl="0">
      <w:start w:val="1"/>
      <w:numFmt w:val="lowerLetter"/>
      <w:lvlText w:val="%1)"/>
      <w:lvlJc w:val="left"/>
      <w:pPr>
        <w:ind w:hanging="360" w:left="259"/>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23">
    <w:lvl w:ilvl="0">
      <w:start w:val="35"/>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2"/>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24">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25">
    <w:lvl w:ilvl="0">
      <w:start w:val="37"/>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4"/>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26">
    <w:lvl w:ilvl="0">
      <w:start w:val="1"/>
      <w:numFmt w:val="lowerLetter"/>
      <w:lvlText w:val="%1)"/>
      <w:lvlJc w:val="left"/>
      <w:pPr>
        <w:ind w:hanging="360" w:left="386"/>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27">
    <w:lvl w:ilvl="0">
      <w:start w:val="38"/>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3"/>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28">
    <w:lvl w:ilvl="0">
      <w:start w:val="1"/>
      <w:numFmt w:val="lowerLetter"/>
      <w:lvlText w:val="%1)"/>
      <w:lvlJc w:val="left"/>
      <w:pPr>
        <w:ind w:hanging="360" w:left="246"/>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29">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30">
    <w:lvl w:ilvl="0">
      <w:start w:val="1"/>
      <w:numFmt w:val="lowerLetter"/>
      <w:lvlText w:val="%1)"/>
      <w:lvlJc w:val="left"/>
      <w:pPr>
        <w:ind w:hanging="360" w:left="259"/>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31">
    <w:lvl w:ilvl="0">
      <w:start w:val="43"/>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4"/>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32">
    <w:lvl w:ilvl="0">
      <w:start w:val="1"/>
      <w:numFmt w:val="lowerLetter"/>
      <w:lvlText w:val="%1)"/>
      <w:lvlJc w:val="left"/>
      <w:pPr>
        <w:ind w:hanging="360" w:left="246"/>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33">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34">
    <w:lvl w:ilvl="0">
      <w:start w:val="46"/>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3"/>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35">
    <w:lvl w:ilvl="0">
      <w:start w:val="1"/>
      <w:numFmt w:val="lowerLetter"/>
      <w:lvlText w:val="%1)"/>
      <w:lvlJc w:val="left"/>
      <w:pPr>
        <w:ind w:hanging="360" w:left="10"/>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36">
    <w:lvl w:ilvl="0">
      <w:start w:val="46"/>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9"/>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37">
    <w:lvl w:ilvl="0">
      <w:start w:val="1"/>
      <w:numFmt w:val="lowerLetter"/>
      <w:lvlText w:val="%1)"/>
      <w:lvlJc w:val="left"/>
      <w:pPr>
        <w:ind w:hanging="360" w:left="259"/>
      </w:pPr>
      <w:rPr>
        <w:color w:val="000000"/>
        <w:dstrike w:val="false"/>
        <w:strike w:val="false"/>
        <w:vertAlign w:val="baseline"/>
        <w:position w:val="0"/>
        <w:sz w:val="24"/>
        <w:sz w:val="24"/>
        <w:i w:val="false"/>
        <w:u w:val="none"/>
        <w:b w:val="false"/>
        <w:shd w:fill="FFFFFF" w:val="clear"/>
        <w:szCs w:val="24"/>
      </w:rPr>
    </w:lvl>
    <w:lvl w:ilvl="1">
      <w:start w:val="1"/>
      <w:numFmt w:val="lowerLetter"/>
      <w:lvlText w:val="%2"/>
      <w:lvlJc w:val="left"/>
      <w:pPr>
        <w:ind w:hanging="360" w:left="108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80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252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324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96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468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540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6120"/>
      </w:pPr>
      <w:rPr>
        <w:color w:val="000000"/>
        <w:dstrike w:val="false"/>
        <w:strike w:val="false"/>
        <w:vertAlign w:val="baseline"/>
        <w:position w:val="0"/>
        <w:sz w:val="24"/>
        <w:sz w:val="24"/>
        <w:i w:val="false"/>
        <w:u w:val="none"/>
        <w:b w:val="false"/>
        <w:shd w:fill="FFFFFF" w:val="clear"/>
        <w:szCs w:val="24"/>
      </w:rPr>
    </w:lvl>
  </w:abstractNum>
  <w:abstractNum w:abstractNumId="38">
    <w:lvl w:ilvl="0">
      <w:start w:val="52"/>
      <w:numFmt w:val="decimal"/>
      <w:lvlText w:val="%1"/>
      <w:lvlJc w:val="left"/>
      <w:pPr>
        <w:ind w:hanging="360" w:left="360"/>
      </w:pPr>
      <w:rPr>
        <w:color w:val="000000"/>
        <w:dstrike w:val="false"/>
        <w:strike w:val="false"/>
        <w:vertAlign w:val="baseline"/>
        <w:position w:val="0"/>
        <w:sz w:val="24"/>
        <w:sz w:val="24"/>
        <w:i w:val="false"/>
        <w:u w:val="none"/>
        <w:b w:val="false"/>
        <w:shd w:fill="FFFFFF" w:val="clear"/>
        <w:szCs w:val="24"/>
      </w:rPr>
    </w:lvl>
    <w:lvl w:ilvl="1">
      <w:start w:val="1"/>
      <w:numFmt w:val="decimal"/>
      <w:lvlText w:val="%1.%2."/>
      <w:lvlJc w:val="left"/>
      <w:pPr>
        <w:ind w:hanging="360" w:left="730"/>
      </w:pPr>
      <w:rPr>
        <w:color w:val="000000"/>
        <w:dstrike w:val="false"/>
        <w:strike w:val="false"/>
        <w:vertAlign w:val="baseline"/>
        <w:position w:val="0"/>
        <w:sz w:val="24"/>
        <w:sz w:val="24"/>
        <w:i w:val="false"/>
        <w:u w:val="none"/>
        <w:b w:val="false"/>
        <w:shd w:fill="FFFFFF" w:val="clear"/>
        <w:szCs w:val="24"/>
      </w:rPr>
    </w:lvl>
    <w:lvl w:ilvl="2">
      <w:start w:val="1"/>
      <w:numFmt w:val="lowerRoman"/>
      <w:lvlText w:val="%3"/>
      <w:lvlJc w:val="left"/>
      <w:pPr>
        <w:ind w:hanging="360" w:left="1080"/>
      </w:pPr>
      <w:rPr>
        <w:color w:val="000000"/>
        <w:dstrike w:val="false"/>
        <w:strike w:val="false"/>
        <w:vertAlign w:val="baseline"/>
        <w:position w:val="0"/>
        <w:sz w:val="24"/>
        <w:sz w:val="24"/>
        <w:i w:val="false"/>
        <w:u w:val="none"/>
        <w:b w:val="false"/>
        <w:shd w:fill="FFFFFF" w:val="clear"/>
        <w:szCs w:val="24"/>
      </w:rPr>
    </w:lvl>
    <w:lvl w:ilvl="3">
      <w:start w:val="1"/>
      <w:numFmt w:val="decimal"/>
      <w:lvlText w:val="%4"/>
      <w:lvlJc w:val="left"/>
      <w:pPr>
        <w:ind w:hanging="360" w:left="1800"/>
      </w:pPr>
      <w:rPr>
        <w:color w:val="000000"/>
        <w:dstrike w:val="false"/>
        <w:strike w:val="false"/>
        <w:vertAlign w:val="baseline"/>
        <w:position w:val="0"/>
        <w:sz w:val="24"/>
        <w:sz w:val="24"/>
        <w:i w:val="false"/>
        <w:u w:val="none"/>
        <w:b w:val="false"/>
        <w:shd w:fill="FFFFFF" w:val="clear"/>
        <w:szCs w:val="24"/>
      </w:rPr>
    </w:lvl>
    <w:lvl w:ilvl="4">
      <w:start w:val="1"/>
      <w:numFmt w:val="lowerLetter"/>
      <w:lvlText w:val="%5"/>
      <w:lvlJc w:val="left"/>
      <w:pPr>
        <w:ind w:hanging="360" w:left="2520"/>
      </w:pPr>
      <w:rPr>
        <w:color w:val="000000"/>
        <w:dstrike w:val="false"/>
        <w:strike w:val="false"/>
        <w:vertAlign w:val="baseline"/>
        <w:position w:val="0"/>
        <w:sz w:val="24"/>
        <w:sz w:val="24"/>
        <w:i w:val="false"/>
        <w:u w:val="none"/>
        <w:b w:val="false"/>
        <w:shd w:fill="FFFFFF" w:val="clear"/>
        <w:szCs w:val="24"/>
      </w:rPr>
    </w:lvl>
    <w:lvl w:ilvl="5">
      <w:start w:val="1"/>
      <w:numFmt w:val="lowerRoman"/>
      <w:lvlText w:val="%6"/>
      <w:lvlJc w:val="left"/>
      <w:pPr>
        <w:ind w:hanging="360" w:left="3240"/>
      </w:pPr>
      <w:rPr>
        <w:color w:val="000000"/>
        <w:dstrike w:val="false"/>
        <w:strike w:val="false"/>
        <w:vertAlign w:val="baseline"/>
        <w:position w:val="0"/>
        <w:sz w:val="24"/>
        <w:sz w:val="24"/>
        <w:i w:val="false"/>
        <w:u w:val="none"/>
        <w:b w:val="false"/>
        <w:shd w:fill="FFFFFF" w:val="clear"/>
        <w:szCs w:val="24"/>
      </w:rPr>
    </w:lvl>
    <w:lvl w:ilvl="6">
      <w:start w:val="1"/>
      <w:numFmt w:val="decimal"/>
      <w:lvlText w:val="%7"/>
      <w:lvlJc w:val="left"/>
      <w:pPr>
        <w:ind w:hanging="360" w:left="3960"/>
      </w:pPr>
      <w:rPr>
        <w:color w:val="000000"/>
        <w:dstrike w:val="false"/>
        <w:strike w:val="false"/>
        <w:vertAlign w:val="baseline"/>
        <w:position w:val="0"/>
        <w:sz w:val="24"/>
        <w:sz w:val="24"/>
        <w:i w:val="false"/>
        <w:u w:val="none"/>
        <w:b w:val="false"/>
        <w:shd w:fill="FFFFFF" w:val="clear"/>
        <w:szCs w:val="24"/>
      </w:rPr>
    </w:lvl>
    <w:lvl w:ilvl="7">
      <w:start w:val="1"/>
      <w:numFmt w:val="lowerLetter"/>
      <w:lvlText w:val="%8"/>
      <w:lvlJc w:val="left"/>
      <w:pPr>
        <w:ind w:hanging="360" w:left="4680"/>
      </w:pPr>
      <w:rPr>
        <w:color w:val="000000"/>
        <w:dstrike w:val="false"/>
        <w:strike w:val="false"/>
        <w:vertAlign w:val="baseline"/>
        <w:position w:val="0"/>
        <w:sz w:val="24"/>
        <w:sz w:val="24"/>
        <w:i w:val="false"/>
        <w:u w:val="none"/>
        <w:b w:val="false"/>
        <w:shd w:fill="FFFFFF" w:val="clear"/>
        <w:szCs w:val="24"/>
      </w:rPr>
    </w:lvl>
    <w:lvl w:ilvl="8">
      <w:start w:val="1"/>
      <w:numFmt w:val="lowerRoman"/>
      <w:lvlText w:val="%9"/>
      <w:lvlJc w:val="left"/>
      <w:pPr>
        <w:ind w:hanging="360" w:left="5400"/>
      </w:pPr>
      <w:rPr>
        <w:color w:val="000000"/>
        <w:dstrike w:val="false"/>
        <w:strike w:val="false"/>
        <w:vertAlign w:val="baseline"/>
        <w:position w:val="0"/>
        <w:sz w:val="24"/>
        <w:sz w:val="24"/>
        <w:i w:val="false"/>
        <w:u w:val="none"/>
        <w:b w:val="false"/>
        <w:shd w:fill="FFFFFF" w:val="clear"/>
        <w:szCs w:val="24"/>
      </w:rPr>
    </w:lvl>
  </w:abstractNum>
  <w:abstractNum w:abstractNumId="39">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w="http://schemas.openxmlformats.org/wordprocessingml/2006/main">
  <w:zoom w:percent="120"/>
  <w:defaultTabStop w:val="708"/>
  <w:evenAndOddHeaders/>
</w:settings>
</file>

<file path=word/styles.xml><?xml version="1.0" encoding="utf-8"?>
<w:styles xmlns:w="http://schemas.openxmlformats.org/wordprocessingml/2006/main">
  <w:style w:styleId="style0" w:type="paragraph">
    <w:name w:val="Normal"/>
    <w:next w:val="style0"/>
    <w:pPr>
      <w:widowControl/>
      <w:suppressAutoHyphens w:val="true"/>
      <w:spacing w:after="0" w:before="0" w:line="247" w:lineRule="auto"/>
      <w:ind w:hanging="10" w:left="10" w:right="8"/>
      <w:contextualSpacing w:val="false"/>
      <w:jc w:val="both"/>
    </w:pPr>
    <w:rPr>
      <w:rFonts w:ascii="Times New Roman" w:cs="Times New Roman" w:eastAsia="Times New Roman" w:hAnsi="Times New Roman"/>
      <w:color w:val="000000"/>
      <w:sz w:val="24"/>
      <w:szCs w:val="22"/>
      <w:lang w:bidi="ar-SA" w:eastAsia="pt-BR" w:val="pt-BR"/>
    </w:rPr>
  </w:style>
  <w:style w:styleId="style1" w:type="paragraph">
    <w:name w:val="Título 1"/>
    <w:basedOn w:val="style25"/>
    <w:next w:val="style1"/>
    <w:pPr>
      <w:keepNext/>
      <w:keepLines/>
      <w:widowControl/>
      <w:spacing w:after="3" w:before="240"/>
      <w:ind w:hanging="10" w:left="10" w:right="6"/>
      <w:contextualSpacing w:val="false"/>
      <w:jc w:val="center"/>
    </w:pPr>
    <w:rPr>
      <w:rFonts w:ascii="Times New Roman" w:cs="Times New Roman" w:eastAsia="Times New Roman" w:hAnsi="Times New Roman"/>
      <w:b/>
      <w:color w:val="000000"/>
      <w:sz w:val="24"/>
    </w:rPr>
  </w:style>
  <w:style w:styleId="style15" w:type="character">
    <w:name w:val="Default Paragraph Font"/>
    <w:next w:val="style15"/>
    <w:rPr/>
  </w:style>
  <w:style w:styleId="style16" w:type="character">
    <w:name w:val="Título 1 Char"/>
    <w:next w:val="style16"/>
    <w:rPr>
      <w:rFonts w:ascii="Times New Roman" w:cs="Times New Roman" w:eastAsia="Times New Roman" w:hAnsi="Times New Roman"/>
      <w:b/>
      <w:color w:val="000000"/>
      <w:sz w:val="24"/>
    </w:rPr>
  </w:style>
  <w:style w:styleId="style17" w:type="character">
    <w:name w:val="Texto de balão Char"/>
    <w:basedOn w:val="style15"/>
    <w:next w:val="style17"/>
    <w:rPr>
      <w:rFonts w:ascii="Segoe UI" w:cs="Segoe UI" w:eastAsia="Times New Roman" w:hAnsi="Segoe UI"/>
      <w:color w:val="000000"/>
      <w:sz w:val="18"/>
      <w:szCs w:val="18"/>
    </w:rPr>
  </w:style>
  <w:style w:styleId="style18" w:type="character">
    <w:name w:val="annotation reference"/>
    <w:basedOn w:val="style15"/>
    <w:next w:val="style18"/>
    <w:rPr>
      <w:sz w:val="16"/>
      <w:szCs w:val="16"/>
    </w:rPr>
  </w:style>
  <w:style w:styleId="style19" w:type="character">
    <w:name w:val="Texto de comentário Char"/>
    <w:basedOn w:val="style15"/>
    <w:next w:val="style19"/>
    <w:rPr>
      <w:rFonts w:ascii="Times New Roman" w:cs="Times New Roman" w:eastAsia="Times New Roman" w:hAnsi="Times New Roman"/>
      <w:color w:val="000000"/>
      <w:sz w:val="20"/>
      <w:szCs w:val="20"/>
    </w:rPr>
  </w:style>
  <w:style w:styleId="style20" w:type="character">
    <w:name w:val="Assunto do comentário Char"/>
    <w:basedOn w:val="style19"/>
    <w:next w:val="style20"/>
    <w:rPr>
      <w:rFonts w:ascii="Times New Roman" w:cs="Times New Roman" w:eastAsia="Times New Roman" w:hAnsi="Times New Roman"/>
      <w:b/>
      <w:bCs/>
      <w:color w:val="000000"/>
      <w:sz w:val="20"/>
      <w:szCs w:val="20"/>
    </w:rPr>
  </w:style>
  <w:style w:styleId="style21" w:type="character">
    <w:name w:val="Cabeçalho Char"/>
    <w:basedOn w:val="style15"/>
    <w:next w:val="style21"/>
    <w:rPr>
      <w:rFonts w:ascii="Times New Roman" w:cs="Times New Roman" w:eastAsia="Times New Roman" w:hAnsi="Times New Roman"/>
      <w:color w:val="000000"/>
      <w:sz w:val="24"/>
    </w:rPr>
  </w:style>
  <w:style w:styleId="style22" w:type="character">
    <w:name w:val="ListLabel 1"/>
    <w:next w:val="style22"/>
    <w:rPr>
      <w:rFonts w:cs="Times New Roman" w:eastAsia="Times New Roman"/>
      <w:b w:val="false"/>
      <w:i w:val="false"/>
      <w:strike w:val="false"/>
      <w:dstrike w:val="false"/>
      <w:color w:val="000000"/>
      <w:position w:val="0"/>
      <w:sz w:val="24"/>
      <w:sz w:val="24"/>
      <w:szCs w:val="24"/>
      <w:u w:val="none"/>
      <w:shd w:fill="FFFFFF" w:val="clear"/>
      <w:vertAlign w:val="baseline"/>
    </w:rPr>
  </w:style>
  <w:style w:styleId="style23" w:type="character">
    <w:name w:val="ListLabel 2"/>
    <w:next w:val="style23"/>
    <w:rPr>
      <w:rFonts w:cs="Arial" w:eastAsia="Times New Roman"/>
      <w:b w:val="false"/>
      <w:i w:val="false"/>
      <w:strike w:val="false"/>
      <w:dstrike w:val="false"/>
      <w:color w:val="000000"/>
      <w:position w:val="0"/>
      <w:sz w:val="24"/>
      <w:sz w:val="24"/>
      <w:szCs w:val="24"/>
      <w:u w:val="none"/>
      <w:shd w:fill="FFFFFF" w:val="clear"/>
      <w:vertAlign w:val="baseline"/>
    </w:rPr>
  </w:style>
  <w:style w:styleId="style24" w:type="character">
    <w:name w:val="Ênfase"/>
    <w:next w:val="style24"/>
    <w:rPr>
      <w:i/>
      <w:iCs/>
    </w:rPr>
  </w:style>
  <w:style w:styleId="style25" w:type="paragraph">
    <w:name w:val="Título"/>
    <w:basedOn w:val="style0"/>
    <w:next w:val="style26"/>
    <w:pPr>
      <w:keepNext/>
      <w:spacing w:after="120" w:before="240"/>
      <w:contextualSpacing w:val="false"/>
    </w:pPr>
    <w:rPr>
      <w:rFonts w:ascii="Arial" w:cs="Mangal" w:eastAsia="Microsoft YaHei" w:hAnsi="Arial"/>
      <w:sz w:val="28"/>
      <w:szCs w:val="28"/>
    </w:rPr>
  </w:style>
  <w:style w:styleId="style26" w:type="paragraph">
    <w:name w:val="Corpo do texto"/>
    <w:basedOn w:val="style0"/>
    <w:next w:val="style26"/>
    <w:pPr>
      <w:spacing w:after="120" w:before="0"/>
      <w:contextualSpacing w:val="false"/>
    </w:pPr>
    <w:rPr/>
  </w:style>
  <w:style w:styleId="style27" w:type="paragraph">
    <w:name w:val="Lista"/>
    <w:basedOn w:val="style26"/>
    <w:next w:val="style27"/>
    <w:pPr/>
    <w:rPr>
      <w:rFonts w:cs="Mangal"/>
    </w:rPr>
  </w:style>
  <w:style w:styleId="style28" w:type="paragraph">
    <w:name w:val="Legenda"/>
    <w:basedOn w:val="style0"/>
    <w:next w:val="style28"/>
    <w:pPr>
      <w:suppressLineNumbers/>
      <w:spacing w:after="120" w:before="120"/>
      <w:contextualSpacing w:val="false"/>
    </w:pPr>
    <w:rPr>
      <w:rFonts w:cs="Mangal"/>
      <w:i/>
      <w:iCs/>
      <w:sz w:val="24"/>
      <w:szCs w:val="24"/>
    </w:rPr>
  </w:style>
  <w:style w:styleId="style29" w:type="paragraph">
    <w:name w:val="Índice"/>
    <w:basedOn w:val="style0"/>
    <w:next w:val="style29"/>
    <w:pPr>
      <w:suppressLineNumbers/>
    </w:pPr>
    <w:rPr>
      <w:rFonts w:cs="Mangal"/>
    </w:rPr>
  </w:style>
  <w:style w:styleId="style30" w:type="paragraph">
    <w:name w:val="List Paragraph"/>
    <w:basedOn w:val="style0"/>
    <w:next w:val="style30"/>
    <w:pPr>
      <w:spacing w:after="0" w:before="0"/>
      <w:ind w:hanging="10" w:left="720" w:right="8"/>
      <w:contextualSpacing/>
    </w:pPr>
    <w:rPr/>
  </w:style>
  <w:style w:styleId="style31" w:type="paragraph">
    <w:name w:val="Balloon Text"/>
    <w:basedOn w:val="style0"/>
    <w:next w:val="style31"/>
    <w:pPr>
      <w:spacing w:line="100" w:lineRule="atLeast"/>
    </w:pPr>
    <w:rPr>
      <w:rFonts w:ascii="Segoe UI" w:cs="Segoe UI" w:hAnsi="Segoe UI"/>
      <w:sz w:val="18"/>
      <w:szCs w:val="18"/>
    </w:rPr>
  </w:style>
  <w:style w:styleId="style32" w:type="paragraph">
    <w:name w:val="annotation text"/>
    <w:basedOn w:val="style0"/>
    <w:next w:val="style32"/>
    <w:pPr>
      <w:spacing w:line="100" w:lineRule="atLeast"/>
    </w:pPr>
    <w:rPr>
      <w:sz w:val="20"/>
      <w:szCs w:val="20"/>
    </w:rPr>
  </w:style>
  <w:style w:styleId="style33" w:type="paragraph">
    <w:name w:val="annotation subject"/>
    <w:basedOn w:val="style32"/>
    <w:next w:val="style33"/>
    <w:pPr/>
    <w:rPr>
      <w:b/>
      <w:bCs/>
    </w:rPr>
  </w:style>
  <w:style w:styleId="style34" w:type="paragraph">
    <w:name w:val="Cabeçalho"/>
    <w:basedOn w:val="style0"/>
    <w:next w:val="style34"/>
    <w:pPr>
      <w:tabs>
        <w:tab w:leader="none" w:pos="4252" w:val="center"/>
        <w:tab w:leader="none" w:pos="8504" w:val="right"/>
      </w:tabs>
      <w:spacing w:line="100" w:lineRule="atLeast"/>
    </w:pPr>
    <w:rPr/>
  </w:style>
  <w:style w:styleId="style35" w:type="paragraph">
    <w:name w:val="Rodapé"/>
    <w:basedOn w:val="style0"/>
    <w:next w:val="style35"/>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2016-06-08T20:02:00Z</dcterms:created>
  <dcterms:modified xsi:type="dcterms:W3CDTF">2016-06-08T20:02:00Z</dcterms:modified>
  <cp:revision>1</cp:revision>
</cp:coreProperties>
</file>